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-48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水利水电工程施工重大危险源清单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4"/>
          <w:szCs w:val="24"/>
          <w:bdr w:val="none" w:color="auto" w:sz="0" w:space="0"/>
          <w:shd w:val="clear" w:fill="FFFFFF"/>
        </w:rPr>
        <w:t>水利水电工程施工重大危险源清单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00650" cy="7753350"/>
            <wp:effectExtent l="0" t="0" r="11430" b="3810"/>
            <wp:docPr id="4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19700" cy="7791450"/>
            <wp:effectExtent l="0" t="0" r="7620" b="11430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10175" cy="7781925"/>
            <wp:effectExtent l="0" t="0" r="1905" b="5715"/>
            <wp:docPr id="1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19700" cy="4229100"/>
            <wp:effectExtent l="0" t="0" r="7620" b="7620"/>
            <wp:docPr id="2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TEwYjdlOGY4ZTk3OWI4NTM3Yzk2M2ZjMWYxYjUifQ=="/>
  </w:docVars>
  <w:rsids>
    <w:rsidRoot w:val="38055252"/>
    <w:rsid w:val="380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2023-08-15T09:09:00Z</dcterms:created>
  <dc:creator>流明</dc:creator>
  <cp:lastModifiedBy>流明</cp:lastModifiedBy>
  <dcterms:modified xsi:type="dcterms:W3CDTF">2023-08-15T09:09:58Z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0A6BB8730CCB45BDB2AE4D30355E9E1A_11</vt:lpwstr>
  </property>
</Properties>
</file>