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p>
    <w:p>
      <w:pPr>
        <w:pStyle w:val="3"/>
        <w:rPr>
          <w:rFonts w:hint="eastAsia" w:ascii="黑体" w:hAnsi="黑体" w:eastAsia="黑体" w:cs="黑体"/>
          <w:kern w:val="2"/>
          <w:sz w:val="10"/>
          <w:szCs w:val="10"/>
          <w:lang w:val="en-US" w:eastAsia="zh-CN" w:bidi="ar-SA"/>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sz w:val="44"/>
          <w:szCs w:val="44"/>
          <w:lang w:val="en-US" w:eastAsia="zh"/>
        </w:rPr>
      </w:pPr>
      <w:bookmarkStart w:id="0" w:name="_GoBack"/>
      <w:r>
        <w:rPr>
          <w:rFonts w:hint="eastAsia"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lang w:val="en-US" w:eastAsia="zh-CN"/>
        </w:rPr>
        <w:t>023年四川省工程建设地方标准制（修）订</w:t>
      </w:r>
      <w:r>
        <w:rPr>
          <w:rFonts w:hint="eastAsia" w:ascii="Times New Roman" w:hAnsi="Times New Roman" w:eastAsia="方正小标宋简体" w:cs="Times New Roman"/>
          <w:sz w:val="44"/>
          <w:szCs w:val="44"/>
          <w:lang w:val="en-US" w:eastAsia="zh-CN"/>
        </w:rPr>
        <w:t>计划拟</w:t>
      </w:r>
      <w:r>
        <w:rPr>
          <w:rFonts w:hint="default" w:ascii="Times New Roman" w:hAnsi="Times New Roman" w:eastAsia="方正小标宋简体" w:cs="Times New Roman"/>
          <w:sz w:val="44"/>
          <w:szCs w:val="44"/>
          <w:lang w:val="en-US" w:eastAsia="zh-CN"/>
        </w:rPr>
        <w:t>立项</w:t>
      </w:r>
      <w:r>
        <w:rPr>
          <w:rFonts w:hint="eastAsia" w:ascii="Times New Roman" w:hAnsi="Times New Roman" w:eastAsia="方正小标宋简体" w:cs="Times New Roman"/>
          <w:sz w:val="44"/>
          <w:szCs w:val="44"/>
          <w:lang w:val="en-US" w:eastAsia="zh-CN"/>
        </w:rPr>
        <w:t>项目</w:t>
      </w:r>
      <w:r>
        <w:rPr>
          <w:rFonts w:hint="default" w:ascii="Times New Roman" w:hAnsi="Times New Roman" w:eastAsia="方正小标宋简体" w:cs="Times New Roman"/>
          <w:sz w:val="44"/>
          <w:szCs w:val="44"/>
          <w:lang w:val="en-US" w:eastAsia="zh-CN"/>
        </w:rPr>
        <w:t>汇总表</w:t>
      </w:r>
    </w:p>
    <w:bookmarkEnd w:id="0"/>
    <w:tbl>
      <w:tblPr>
        <w:tblStyle w:val="6"/>
        <w:tblW w:w="14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618"/>
        <w:gridCol w:w="7220"/>
        <w:gridCol w:w="2192"/>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45" w:type="dxa"/>
            <w:noWrap w:val="0"/>
            <w:vAlign w:val="center"/>
          </w:tcPr>
          <w:p>
            <w:pPr>
              <w:widowControl/>
              <w:jc w:val="center"/>
              <w:textAlignment w:val="center"/>
              <w:rPr>
                <w:rFonts w:hint="eastAsia" w:ascii="黑体" w:hAnsi="黑体" w:eastAsia="黑体" w:cs="黑体"/>
                <w:b/>
                <w:color w:val="auto"/>
                <w:kern w:val="0"/>
                <w:sz w:val="28"/>
                <w:szCs w:val="28"/>
                <w:lang w:val="en-US" w:eastAsia="zh-CN" w:bidi="ar"/>
              </w:rPr>
            </w:pPr>
            <w:r>
              <w:rPr>
                <w:rFonts w:hint="eastAsia" w:ascii="黑体" w:hAnsi="黑体" w:eastAsia="黑体" w:cs="黑体"/>
                <w:b/>
                <w:kern w:val="0"/>
                <w:sz w:val="28"/>
                <w:szCs w:val="28"/>
                <w:lang w:bidi="ar"/>
              </w:rPr>
              <w:t>序号</w:t>
            </w:r>
          </w:p>
        </w:tc>
        <w:tc>
          <w:tcPr>
            <w:tcW w:w="2618" w:type="dxa"/>
            <w:noWrap w:val="0"/>
            <w:vAlign w:val="center"/>
          </w:tcPr>
          <w:p>
            <w:pPr>
              <w:widowControl/>
              <w:jc w:val="center"/>
              <w:textAlignment w:val="center"/>
              <w:rPr>
                <w:rFonts w:hint="eastAsia" w:ascii="黑体" w:hAnsi="黑体" w:eastAsia="黑体" w:cs="黑体"/>
                <w:b/>
                <w:color w:val="auto"/>
                <w:kern w:val="0"/>
                <w:sz w:val="28"/>
                <w:szCs w:val="28"/>
                <w:lang w:val="en-US" w:eastAsia="zh-CN" w:bidi="ar"/>
              </w:rPr>
            </w:pPr>
            <w:r>
              <w:rPr>
                <w:rFonts w:hint="eastAsia" w:ascii="黑体" w:hAnsi="黑体" w:eastAsia="黑体" w:cs="黑体"/>
                <w:b/>
                <w:kern w:val="0"/>
                <w:sz w:val="28"/>
                <w:szCs w:val="28"/>
                <w:lang w:bidi="ar"/>
              </w:rPr>
              <w:t>标准名称</w:t>
            </w:r>
          </w:p>
        </w:tc>
        <w:tc>
          <w:tcPr>
            <w:tcW w:w="7220" w:type="dxa"/>
            <w:noWrap w:val="0"/>
            <w:vAlign w:val="center"/>
          </w:tcPr>
          <w:p>
            <w:pPr>
              <w:widowControl/>
              <w:jc w:val="center"/>
              <w:textAlignment w:val="center"/>
              <w:rPr>
                <w:rFonts w:hint="eastAsia" w:ascii="黑体" w:hAnsi="黑体" w:eastAsia="黑体" w:cs="黑体"/>
                <w:b/>
                <w:kern w:val="0"/>
                <w:sz w:val="28"/>
                <w:szCs w:val="28"/>
                <w:lang w:eastAsia="zh-CN" w:bidi="ar"/>
              </w:rPr>
            </w:pPr>
            <w:r>
              <w:rPr>
                <w:rFonts w:hint="eastAsia" w:ascii="黑体" w:hAnsi="黑体" w:eastAsia="黑体" w:cs="黑体"/>
                <w:b/>
                <w:kern w:val="0"/>
                <w:sz w:val="28"/>
                <w:szCs w:val="28"/>
                <w:lang w:eastAsia="zh-CN" w:bidi="ar"/>
              </w:rPr>
              <w:t>适用范围和主要技术内容</w:t>
            </w:r>
          </w:p>
        </w:tc>
        <w:tc>
          <w:tcPr>
            <w:tcW w:w="2192" w:type="dxa"/>
            <w:noWrap w:val="0"/>
            <w:vAlign w:val="center"/>
          </w:tcPr>
          <w:p>
            <w:pPr>
              <w:widowControl/>
              <w:jc w:val="center"/>
              <w:textAlignment w:val="center"/>
              <w:rPr>
                <w:rFonts w:hint="eastAsia" w:ascii="黑体" w:hAnsi="黑体" w:eastAsia="黑体" w:cs="黑体"/>
                <w:b/>
                <w:kern w:val="0"/>
                <w:sz w:val="28"/>
                <w:szCs w:val="28"/>
                <w:lang w:eastAsia="zh-CN" w:bidi="ar"/>
              </w:rPr>
            </w:pPr>
            <w:r>
              <w:rPr>
                <w:rFonts w:hint="eastAsia" w:ascii="黑体" w:hAnsi="黑体" w:eastAsia="黑体" w:cs="黑体"/>
                <w:b/>
                <w:kern w:val="0"/>
                <w:sz w:val="28"/>
                <w:szCs w:val="28"/>
                <w:lang w:eastAsia="zh-CN" w:bidi="ar"/>
              </w:rPr>
              <w:t>起草</w:t>
            </w:r>
            <w:r>
              <w:rPr>
                <w:rFonts w:hint="eastAsia" w:ascii="黑体" w:hAnsi="黑体" w:eastAsia="黑体" w:cs="黑体"/>
                <w:b/>
                <w:kern w:val="0"/>
                <w:sz w:val="28"/>
                <w:szCs w:val="28"/>
                <w:lang w:val="en-US" w:eastAsia="zh-CN" w:bidi="ar"/>
              </w:rPr>
              <w:t>/承担</w:t>
            </w:r>
            <w:r>
              <w:rPr>
                <w:rFonts w:hint="eastAsia" w:ascii="黑体" w:hAnsi="黑体" w:eastAsia="黑体" w:cs="黑体"/>
                <w:b/>
                <w:kern w:val="0"/>
                <w:sz w:val="28"/>
                <w:szCs w:val="28"/>
                <w:lang w:eastAsia="zh-CN" w:bidi="ar"/>
              </w:rPr>
              <w:t>单位</w:t>
            </w:r>
          </w:p>
        </w:tc>
        <w:tc>
          <w:tcPr>
            <w:tcW w:w="1095" w:type="dxa"/>
            <w:noWrap w:val="0"/>
            <w:vAlign w:val="center"/>
          </w:tcPr>
          <w:p>
            <w:pPr>
              <w:widowControl/>
              <w:jc w:val="center"/>
              <w:textAlignment w:val="center"/>
              <w:rPr>
                <w:rFonts w:hint="eastAsia" w:ascii="黑体" w:hAnsi="黑体" w:eastAsia="黑体" w:cs="黑体"/>
                <w:b/>
                <w:kern w:val="0"/>
                <w:sz w:val="28"/>
                <w:szCs w:val="28"/>
                <w:lang w:eastAsia="zh-CN" w:bidi="ar"/>
              </w:rPr>
            </w:pPr>
            <w:r>
              <w:rPr>
                <w:rFonts w:hint="eastAsia" w:ascii="黑体" w:hAnsi="黑体" w:eastAsia="黑体" w:cs="黑体"/>
                <w:b/>
                <w:kern w:val="0"/>
                <w:sz w:val="28"/>
                <w:szCs w:val="28"/>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default" w:ascii="Times New Roman" w:hAnsi="Times New Roman" w:eastAsia="仿宋" w:cs="Times New Roman"/>
                <w:bCs/>
                <w:kern w:val="0"/>
                <w:sz w:val="24"/>
                <w:szCs w:val="24"/>
                <w:lang w:bidi="ar"/>
              </w:rPr>
              <w:t>1</w:t>
            </w:r>
          </w:p>
        </w:tc>
        <w:tc>
          <w:tcPr>
            <w:tcW w:w="2618" w:type="dxa"/>
            <w:noWrap w:val="0"/>
            <w:vAlign w:val="center"/>
          </w:tcPr>
          <w:p>
            <w:pPr>
              <w:widowControl/>
              <w:jc w:val="both"/>
              <w:textAlignment w:val="center"/>
              <w:rPr>
                <w:rFonts w:hint="eastAsia" w:ascii="仿宋" w:hAnsi="仿宋" w:eastAsia="仿宋" w:cs="仿宋"/>
                <w:bCs/>
                <w:color w:val="auto"/>
                <w:kern w:val="0"/>
                <w:sz w:val="24"/>
                <w:szCs w:val="24"/>
                <w:lang w:val="en-US" w:eastAsia="zh-CN" w:bidi="ar"/>
              </w:rPr>
            </w:pPr>
            <w:r>
              <w:rPr>
                <w:rFonts w:hint="eastAsia" w:ascii="仿宋" w:hAnsi="仿宋" w:eastAsia="仿宋" w:cs="仿宋"/>
                <w:color w:val="000000"/>
                <w:kern w:val="0"/>
                <w:sz w:val="24"/>
                <w:szCs w:val="24"/>
                <w:lang w:bidi="ar"/>
              </w:rPr>
              <w:t>四川省建筑与市政岩土工程勘察标准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auto"/>
                <w:kern w:val="0"/>
                <w:sz w:val="24"/>
                <w:szCs w:val="24"/>
                <w:lang w:val="en-US" w:eastAsia="zh-CN" w:bidi="ar"/>
              </w:rPr>
              <w:t>适用于</w:t>
            </w:r>
            <w:r>
              <w:rPr>
                <w:rFonts w:hint="eastAsia" w:ascii="仿宋" w:hAnsi="仿宋" w:eastAsia="仿宋" w:cs="仿宋"/>
                <w:color w:val="000000"/>
                <w:kern w:val="0"/>
                <w:sz w:val="24"/>
                <w:szCs w:val="24"/>
                <w:lang w:val="en-US" w:eastAsia="zh-CN" w:bidi="ar"/>
              </w:rPr>
              <w:t>四川省各地区各类建筑工程、市政基础工程的勘察。</w:t>
            </w:r>
          </w:p>
          <w:p>
            <w:pPr>
              <w:widowControl/>
              <w:jc w:val="both"/>
              <w:textAlignment w:val="center"/>
              <w:rPr>
                <w:rFonts w:hint="eastAsia" w:ascii="仿宋" w:hAnsi="仿宋" w:eastAsia="仿宋" w:cs="仿宋"/>
                <w:i w:val="0"/>
                <w:caps w:val="0"/>
                <w:color w:val="333333"/>
                <w:spacing w:val="0"/>
                <w:kern w:val="0"/>
                <w:sz w:val="24"/>
                <w:szCs w:val="24"/>
                <w:shd w:val="clear" w:color="auto" w:fill="FFFFFF"/>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auto"/>
                <w:kern w:val="0"/>
                <w:sz w:val="24"/>
                <w:szCs w:val="24"/>
                <w:lang w:val="en-US" w:eastAsia="zh-CN" w:bidi="ar"/>
              </w:rPr>
              <w:t>主要技术内容包括</w:t>
            </w:r>
            <w:r>
              <w:rPr>
                <w:rFonts w:hint="eastAsia" w:ascii="仿宋" w:hAnsi="仿宋" w:eastAsia="仿宋" w:cs="仿宋"/>
                <w:color w:val="000000"/>
                <w:kern w:val="0"/>
                <w:sz w:val="24"/>
                <w:szCs w:val="24"/>
                <w:lang w:val="en-US" w:eastAsia="zh-CN" w:bidi="ar"/>
              </w:rPr>
              <w:t>勘察阶段和勘察等级、工程勘察基本要求、不良地质作用、特殊性岩土、场地和地基地震效应、地下水、原位测试、取样及室内试验、岩土工程分析评价、岩土工程勘察报</w:t>
            </w:r>
            <w:r>
              <w:rPr>
                <w:rFonts w:hint="eastAsia" w:ascii="仿宋" w:hAnsi="仿宋" w:eastAsia="仿宋" w:cs="仿宋"/>
                <w:color w:val="auto"/>
                <w:kern w:val="0"/>
                <w:sz w:val="24"/>
                <w:szCs w:val="24"/>
                <w:lang w:val="en-US" w:eastAsia="zh-CN" w:bidi="ar"/>
              </w:rPr>
              <w:t>告等</w:t>
            </w:r>
            <w:r>
              <w:rPr>
                <w:rFonts w:hint="eastAsia" w:ascii="仿宋" w:hAnsi="仿宋" w:eastAsia="仿宋" w:cs="仿宋"/>
                <w:color w:val="000000"/>
                <w:kern w:val="0"/>
                <w:sz w:val="24"/>
                <w:szCs w:val="24"/>
                <w:lang w:val="en-US" w:eastAsia="zh-CN" w:bidi="ar"/>
              </w:rPr>
              <w:t>。</w:t>
            </w:r>
          </w:p>
        </w:tc>
        <w:tc>
          <w:tcPr>
            <w:tcW w:w="2192" w:type="dxa"/>
            <w:noWrap w:val="0"/>
            <w:vAlign w:val="center"/>
          </w:tcPr>
          <w:p>
            <w:pPr>
              <w:keepNext w:val="0"/>
              <w:keepLines w:val="0"/>
              <w:widowControl/>
              <w:suppressLineNumbers w:val="0"/>
              <w:jc w:val="both"/>
              <w:rPr>
                <w:rFonts w:hint="eastAsia" w:ascii="仿宋" w:hAnsi="仿宋" w:eastAsia="仿宋" w:cs="仿宋"/>
                <w:i w:val="0"/>
                <w:caps w:val="0"/>
                <w:color w:val="333333"/>
                <w:spacing w:val="0"/>
                <w:kern w:val="0"/>
                <w:sz w:val="24"/>
                <w:szCs w:val="24"/>
                <w:shd w:val="clear" w:color="auto" w:fill="FFFFFF"/>
                <w:lang w:val="en-US" w:eastAsia="zh-CN" w:bidi="ar"/>
              </w:rPr>
            </w:pPr>
            <w:r>
              <w:rPr>
                <w:rFonts w:hint="eastAsia" w:ascii="仿宋" w:hAnsi="仿宋" w:eastAsia="仿宋" w:cs="仿宋"/>
                <w:color w:val="000000"/>
                <w:kern w:val="0"/>
                <w:sz w:val="24"/>
                <w:szCs w:val="24"/>
                <w:lang w:val="en-US" w:eastAsia="zh-CN" w:bidi="ar"/>
              </w:rPr>
              <w:t>中冶成都勘察研究总院有限公司、中国建筑西南勘察设计研究院有限公司等。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default" w:ascii="Times New Roman" w:hAnsi="Times New Roman" w:eastAsia="仿宋" w:cs="Times New Roman"/>
                <w:bCs/>
                <w:kern w:val="0"/>
                <w:sz w:val="24"/>
                <w:szCs w:val="24"/>
                <w:lang w:val="en-US" w:eastAsia="zh-CN" w:bidi="ar"/>
              </w:rPr>
              <w:t>2</w:t>
            </w:r>
          </w:p>
        </w:tc>
        <w:tc>
          <w:tcPr>
            <w:tcW w:w="2618" w:type="dxa"/>
            <w:noWrap w:val="0"/>
            <w:vAlign w:val="center"/>
          </w:tcPr>
          <w:p>
            <w:pPr>
              <w:widowControl/>
              <w:jc w:val="both"/>
              <w:textAlignment w:val="center"/>
              <w:rPr>
                <w:rFonts w:hint="eastAsia" w:ascii="仿宋" w:hAnsi="仿宋" w:eastAsia="仿宋" w:cs="仿宋"/>
                <w:bCs/>
                <w:color w:val="auto"/>
                <w:kern w:val="0"/>
                <w:sz w:val="24"/>
                <w:szCs w:val="24"/>
                <w:lang w:val="en-US" w:eastAsia="zh-CN" w:bidi="ar"/>
              </w:rPr>
            </w:pPr>
            <w:r>
              <w:rPr>
                <w:rFonts w:hint="eastAsia" w:ascii="仿宋" w:hAnsi="仿宋" w:eastAsia="仿宋" w:cs="仿宋"/>
                <w:color w:val="000000"/>
                <w:kern w:val="0"/>
                <w:sz w:val="24"/>
                <w:szCs w:val="24"/>
                <w:lang w:bidi="ar"/>
              </w:rPr>
              <w:t>四川省螺杆灌注桩技术标准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适用于四川省行政区域内的工业与民用建（构）筑物及市政工程中螺杆灌注桩的设计、施工及验收。</w:t>
            </w:r>
          </w:p>
          <w:p>
            <w:pPr>
              <w:widowControl/>
              <w:jc w:val="both"/>
              <w:textAlignment w:val="center"/>
              <w:rPr>
                <w:rFonts w:hint="eastAsia" w:ascii="仿宋" w:hAnsi="仿宋" w:eastAsia="仿宋" w:cs="仿宋"/>
                <w:i w:val="0"/>
                <w:caps w:val="0"/>
                <w:color w:val="333333"/>
                <w:spacing w:val="0"/>
                <w:kern w:val="0"/>
                <w:sz w:val="24"/>
                <w:szCs w:val="24"/>
                <w:shd w:val="clear" w:color="auto" w:fill="FFFFFF"/>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主要技术内容包括勘察、螺杆灌注桩设计、螺杆灌注桩施工、质量检查与验收等。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中国建筑西南勘察设计研究院有限公司、重庆卓典建设工程有限公司等。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default" w:ascii="Times New Roman" w:hAnsi="Times New Roman" w:eastAsia="仿宋" w:cs="Times New Roman"/>
                <w:bCs/>
                <w:kern w:val="0"/>
                <w:sz w:val="24"/>
                <w:szCs w:val="24"/>
                <w:lang w:val="en-US" w:eastAsia="zh-CN" w:bidi="ar"/>
              </w:rPr>
              <w:t>3</w:t>
            </w:r>
          </w:p>
        </w:tc>
        <w:tc>
          <w:tcPr>
            <w:tcW w:w="2618" w:type="dxa"/>
            <w:noWrap w:val="0"/>
            <w:vAlign w:val="center"/>
          </w:tcPr>
          <w:p>
            <w:pPr>
              <w:widowControl/>
              <w:jc w:val="both"/>
              <w:textAlignment w:val="center"/>
              <w:rPr>
                <w:rFonts w:hint="eastAsia" w:ascii="仿宋" w:hAnsi="仿宋" w:eastAsia="仿宋" w:cs="仿宋"/>
                <w:bCs/>
                <w:color w:val="auto"/>
                <w:kern w:val="0"/>
                <w:sz w:val="24"/>
                <w:szCs w:val="24"/>
                <w:lang w:val="en-US" w:eastAsia="zh-CN" w:bidi="ar"/>
              </w:rPr>
            </w:pPr>
            <w:r>
              <w:rPr>
                <w:rFonts w:hint="eastAsia" w:ascii="仿宋" w:hAnsi="仿宋" w:eastAsia="仿宋" w:cs="仿宋"/>
                <w:color w:val="000000"/>
                <w:kern w:val="0"/>
                <w:sz w:val="24"/>
                <w:szCs w:val="24"/>
                <w:lang w:bidi="ar"/>
              </w:rPr>
              <w:t>四川省锚杆静压桩加固技术规程</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适用于四川省行政区域内的工业与民用建（构）筑物及市政工程中锚杆静压桩加固的设计、施工及验收。</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主要技术内容包括既有建筑地基基础鉴定、锚杆静压桩加固设计、锚杆静压桩加固施工、检测与监测、工程质量验收等。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中国建筑西南勘察设计研究院有限公司、西南石油大学等。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45" w:type="dxa"/>
            <w:noWrap w:val="0"/>
            <w:vAlign w:val="center"/>
          </w:tcPr>
          <w:p>
            <w:pPr>
              <w:widowControl/>
              <w:jc w:val="center"/>
              <w:textAlignment w:val="center"/>
              <w:rPr>
                <w:rFonts w:hint="eastAsia"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kern w:val="0"/>
                <w:sz w:val="24"/>
                <w:szCs w:val="24"/>
                <w:lang w:val="en-US" w:eastAsia="zh-CN" w:bidi="ar"/>
              </w:rPr>
              <w:t>4</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四川省通风空调平疫结合设计标准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适用于新建、扩建、改建的公共及居住建筑室内空气环境防疫设计及疫情期间室内空气环境安全保障。</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主要技术内容包括通过合理的通风空调应用技术与关键设备研究，充分结合生物气溶胶的传播和控制特性，厘清平时工况和疫情工况控制思路的差异，给出经济适用的通风空调“平疫结合”措施等。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中国建筑西南设计研究院有限公司等。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kern w:val="0"/>
                <w:sz w:val="24"/>
                <w:szCs w:val="24"/>
                <w:lang w:val="en-US" w:eastAsia="zh-CN" w:bidi="ar"/>
              </w:rPr>
              <w:t>5</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四川省乡村景观设计技术标准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适用于四川省行政区域内各类乡村景观的规划、设计。各地在乡村景观保护利用实施过程中，针对现状条件和自身禀赋特殊性，可根据实际情况，对相关指标和标准进行微调。</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针对乡村景观空间设计与保护（山、水、林、田），乡村建筑新建、改造风貌管控，特色型乡村风貌设计管控（文化观光型、产业体验型、民宿旅游型）等方面进行技术指引，从生态保护、文化传承、产业植入等方面建立设计技术标准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成都市市政工程设计研究院有限公司等。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color w:val="auto"/>
                <w:kern w:val="0"/>
                <w:sz w:val="24"/>
                <w:szCs w:val="24"/>
                <w:lang w:val="en-US" w:eastAsia="zh-CN" w:bidi="ar"/>
              </w:rPr>
              <w:t>6</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四川省传统民族建筑修缮与更新利用技术标准</w:t>
            </w:r>
          </w:p>
        </w:tc>
        <w:tc>
          <w:tcPr>
            <w:tcW w:w="7220" w:type="dxa"/>
            <w:noWrap w:val="0"/>
            <w:vAlign w:val="center"/>
          </w:tcPr>
          <w:p>
            <w:pPr>
              <w:widowControl/>
              <w:numPr>
                <w:ilvl w:val="0"/>
                <w:numId w:val="0"/>
              </w:numPr>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适用于全省传统民族建筑的修缮工程和更新利用工作。</w:t>
            </w:r>
          </w:p>
          <w:p>
            <w:pPr>
              <w:widowControl/>
              <w:numPr>
                <w:ilvl w:val="0"/>
                <w:numId w:val="0"/>
              </w:numPr>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主要技术内容包括修缮设计、修缮施工、修缮验收、更新利用设计准则、适宜性技术、建筑艺术风貌控制标准等。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西南民族大学、四川省城乡建设研究院等。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color w:val="auto"/>
                <w:kern w:val="0"/>
                <w:sz w:val="24"/>
                <w:szCs w:val="24"/>
                <w:lang w:val="en-US" w:eastAsia="zh-CN" w:bidi="ar"/>
              </w:rPr>
              <w:t>7</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四川省民用建筑室内声环境质量检测与验收标准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适用于四川省民用建筑的室内声环境质量检测与验收的技术标准，作为建筑工程室内声环境验收的参考依据。</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主要技术内容包括民用建筑室内声环境质量的构成要素包括围护结构与构件隔声性能、室内声环境等内容，并在条文说明中对采取的具体检测方法、边界条件、评价依据、验收标准等要求进行详细说明等。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中国建筑西南设计研究院有限公司、成都市建设工程质量监督站等。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color w:val="auto"/>
                <w:kern w:val="0"/>
                <w:sz w:val="24"/>
                <w:szCs w:val="24"/>
                <w:lang w:val="en-US" w:eastAsia="zh-CN" w:bidi="ar"/>
              </w:rPr>
              <w:t>8</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四川省抗灾型超级基站建设标准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适用于新建抗灾型超级基站规划、设计、施工、验收、运维，既有抗灾型超级基站的改建、扩建可参照执行。</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抗灾型超级基站无线网建设技术要求、光传输系统建设技术要求、卫星传输系统建设技术要求、配套电源系统建设技术要求、通信塔桅建设技术要求、通信机房建设技术要求、通信设备安装加固工艺技术要求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中国移动通信集团设计院有限公司四川分公司、四川通信科研规划设计有限责任公司等。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kern w:val="0"/>
                <w:sz w:val="24"/>
                <w:szCs w:val="24"/>
                <w:lang w:val="en-US" w:eastAsia="zh-CN" w:bidi="ar"/>
              </w:rPr>
              <w:t>9</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四川省结构加固用灌浆料应用技术标准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适用于在混凝土结构、砌体结构和钢结构加固改造中，采用结构加固灌浆料的工程设计、施工及质量控制、检验及验收。</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主要技术内容包括设计、混凝土结构加固、砌体结构加固、钢结构加固、施工、检测与验收等。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四川省建筑科学研究院有限公司、四川省建研全固建筑新技术工程有限公司等。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kern w:val="0"/>
                <w:sz w:val="24"/>
                <w:szCs w:val="24"/>
                <w:lang w:val="en-US" w:eastAsia="zh-CN" w:bidi="ar"/>
              </w:rPr>
              <w:t>10</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工程结构加固改造安全监测技术标准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适用于四川省内工程结构在加固改造施工过程中的安全监测。</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主要技术内容包括监测项目、监测点布置、监测方法及精度要求、监测频率、监测报警、数据处理与信息反馈等。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四川省建筑科学研究院有限公司等。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kern w:val="0"/>
                <w:sz w:val="24"/>
                <w:szCs w:val="24"/>
                <w:lang w:val="en-US" w:eastAsia="zh-CN" w:bidi="ar"/>
              </w:rPr>
              <w:t>11</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预拌混凝土生产与应用质量管理规程</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适用于四川地区预拌混凝土生产和使用过程中的质量管理。</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对原材料管理、设备管理、试验管理、生产管理、运输与交付、浇筑与养护、资料管理、预拌混凝土使用质量管理等各个环节提出明确要求，加强预拌混凝土生产使用过程质量控制，严格原材料质量控制、严格配合比管理、严格交货检验、严格试块留置及养护管理等，提高预拌混凝土生产和使用过程的整体质量。为确保本规程的科学性、先进性和实用性，更好地指导预拌混凝土企业对质量控制和绿色生产的重视，本规程对原材料、设备管理和试验管理进行控制的相关规定，并提出了信息化、智能化、低碳等方面的新要求，以期与国家和行业的发展相适应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四川华西绿舍建材有限公司、四川省建筑科学研究院有限公司、四川省建设工程质量安全总站（四川省散装水泥发展中心）等。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kern w:val="0"/>
                <w:sz w:val="24"/>
                <w:szCs w:val="24"/>
                <w:lang w:val="en-US" w:eastAsia="zh-CN" w:bidi="ar"/>
              </w:rPr>
              <w:t>12</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四川省既有建筑幕墙维护与改造工程技术标准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适用于四川地区既有建筑玻璃幕墙、金属幕墙、石材幕墙、人造板幕墙等建筑幕墙工程维护与改造以及建筑行业上下游生产系统的技术进步。</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主要技术内容包括材料、检查、维护、改造、施工与验收、清洗等。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四川省建筑科学研究院有限公司、四川省建筑设计研究院有限公司等。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kern w:val="0"/>
                <w:sz w:val="24"/>
                <w:szCs w:val="24"/>
                <w:lang w:val="en-US" w:eastAsia="zh-CN" w:bidi="ar"/>
              </w:rPr>
              <w:t>13</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四川省住宅工程质量潜在缺陷保险技术风险管理服务标准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适用于四川省行政区域内投保建筑工程质量潜在缺陷保险的新建、改建、扩建住宅工程的技术风险管理服务。</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主要技术内容包括风险识别、风险评估、风险控制、勘察设计阶段服务、施工阶段服务、保险等待期服务和档案管理等。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四川省建筑科学研究院有限公司、四川元丰建设项目管理有限公司等。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kern w:val="0"/>
                <w:sz w:val="24"/>
                <w:szCs w:val="24"/>
                <w:lang w:val="en-US" w:eastAsia="zh-CN" w:bidi="ar"/>
              </w:rPr>
              <w:t>14</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四川省历史建筑修缮技术标准</w:t>
            </w:r>
          </w:p>
        </w:tc>
        <w:tc>
          <w:tcPr>
            <w:tcW w:w="7220" w:type="dxa"/>
            <w:noWrap w:val="0"/>
            <w:vAlign w:val="center"/>
          </w:tcPr>
          <w:p>
            <w:pPr>
              <w:widowControl/>
              <w:numPr>
                <w:ilvl w:val="0"/>
                <w:numId w:val="0"/>
              </w:numPr>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适用于全省历史建筑的修缮工程工作。</w:t>
            </w:r>
          </w:p>
          <w:p>
            <w:pPr>
              <w:widowControl/>
              <w:numPr>
                <w:ilvl w:val="0"/>
                <w:numId w:val="0"/>
              </w:numPr>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主要技术内容包括修缮设计、修缮施工、修缮验收等。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四川省古典建筑园林设计院有限公司、四川省城乡建设研究院、西南民族大学等。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kern w:val="0"/>
                <w:sz w:val="24"/>
                <w:szCs w:val="24"/>
                <w:lang w:val="en-US" w:eastAsia="zh-CN" w:bidi="ar"/>
              </w:rPr>
              <w:t>15</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超高性能混凝土</w:t>
            </w:r>
            <w:r>
              <w:rPr>
                <w:rFonts w:hint="eastAsia" w:ascii="仿宋" w:hAnsi="仿宋" w:eastAsia="仿宋" w:cs="仿宋"/>
                <w:color w:val="000000"/>
                <w:kern w:val="0"/>
                <w:sz w:val="24"/>
                <w:szCs w:val="24"/>
                <w:lang w:bidi="ar"/>
              </w:rPr>
              <w:t>装配式保温装饰一体化外围护结构技术规程</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适用于装配式混凝土建筑外围护结构设计、生产、施工和验收。</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主要技术内容包括材料、设计、施工、生产、质量验收等。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成都市建筑设计研究院有限公司等。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45" w:type="dxa"/>
            <w:noWrap w:val="0"/>
            <w:vAlign w:val="center"/>
          </w:tcPr>
          <w:p>
            <w:pPr>
              <w:widowControl/>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16</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四川省智慧物业管理服务建设标准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适用于四川省行政区域内物业服务人开展智慧物业管理服务平台建设活动，也适用于第三方实施智慧物业管理服务评价活动。</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智慧物业服务功能、评价与改进。“智慧物业服务功能”详细阐述智慧物业技术组成体系，从对内管理、对外服务、设备运营、安全管理、低碳服务等方面明确实现智慧物业的要求措施；“评价与改进”详细阐述评价要求及评分方式，增加标准可操作性、可落地性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四川省房地产业协会、上海市建筑科学研究院有限公司等。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5" w:type="dxa"/>
            <w:noWrap w:val="0"/>
            <w:vAlign w:val="center"/>
          </w:tcPr>
          <w:p>
            <w:pPr>
              <w:widowControl/>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17</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四川省老旧小区物业服务标准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适用于四川省行政区域内老旧小区物业服务。</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老旧小区物业服务分类（包括：基础型物业服务、改善型物业服务、提升型物业服务等）。基础型物业服务内容、标准（包括：公共秩序维护服务、环境卫生管理服务、设施设备维护服务、安全管理服务等）。改善型物业服务内容、标准（包括：客户服务、公共秩序维护服务、环境卫生管理服务、设施设备维护服务、安全管理服务等）。提升型物业服务内容、标准（包括：客户服务、公共秩序维护服务、环境卫生管理服务、设施设备维护服务、安全管理服务、社区服务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成都心辰物业服务有限公司、成都三泰联合物业管理师事务所等。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kern w:val="0"/>
                <w:sz w:val="24"/>
                <w:szCs w:val="24"/>
                <w:lang w:val="en-US" w:eastAsia="zh-CN" w:bidi="ar"/>
              </w:rPr>
              <w:t>18</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四川省低层竹结构装配式建筑技术标准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适用于四川省低层装配式竹建筑的设计、施工及质量验收。</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主要技术内容包括工程竹结构的材料、设计方法（构件、连接、构造、结构体系等）、建筑和机电设计、装修设计、制造、施工、质量验收要求等。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四川省建筑设计研究院有限公司、洪雅竹元科技有限公司等。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kern w:val="0"/>
                <w:sz w:val="24"/>
                <w:szCs w:val="24"/>
                <w:lang w:val="en-US" w:eastAsia="zh-CN" w:bidi="ar"/>
              </w:rPr>
              <w:t>19</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四川省装配式钢结构部品部件信息芯片系统应用技术标准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适用于四川省行政区域内在装配式钢结构部品部件中，采用射频技术进行数据交换，用于固化、采集、传输相关产品信息的内嵌式存储信息芯片的选型、制作、安装及信息管理等技术要求。</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主要技术内容包括性能与检测、制作与检测、安装与使用、信息编码等。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成都市绿色建筑监督服务站、电子薄膜与集成器件国家重点实验室、中国五冶集团有限公司等。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kern w:val="0"/>
                <w:sz w:val="24"/>
                <w:szCs w:val="24"/>
                <w:lang w:val="en-US" w:eastAsia="zh-CN" w:bidi="ar"/>
              </w:rPr>
              <w:t>20</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四川省建筑能效标识技术标准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适用于我省建筑能效标识。</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主要技术内容包括测评与评估方法、居住建筑能效测评、公共建筑能效测评、居住建筑能效实测评估、公共建筑能效实测评估、建筑能效标识报告等。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四川省建筑科学研究院有限公司、四川省建设工程消防和勘察设计技术中心等。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color w:val="auto"/>
                <w:kern w:val="0"/>
                <w:sz w:val="24"/>
                <w:szCs w:val="24"/>
                <w:lang w:val="en-US" w:eastAsia="zh-CN" w:bidi="ar"/>
              </w:rPr>
              <w:t>21</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四川省复合矿物掺合料应用技术标准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适用于混凝土用复合矿物掺合料的生产、检验与应用。</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以四川省资源情况调研和试验为基础，明确四川地区可用于复合矿物掺合料的原材料种类，并对各类别原材料性能作技术要求。以大量的实验室试验和应用实践为基础，对复合矿物掺合料产品的分类、技术指标、试验方法提出明确要求。对复合矿物掺合料出厂与验收检验项目、取样频次、取样方法做出规定，对复合矿物掺合料的、运输和储存提出要求。提出掺复合矿物掺合料的混凝土配合比设计原则，对复合矿物掺合料中各组分在混凝土中的掺量限量做出规定。掺复合矿物掺合料混凝土的生产、施工工艺、质量通病的避免、质量检验评定提出规定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四川省建筑科学研究院有限公司、四川建研善建科技发展有限公司等。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color w:val="auto"/>
                <w:kern w:val="0"/>
                <w:sz w:val="24"/>
                <w:szCs w:val="24"/>
                <w:lang w:val="en-US" w:eastAsia="zh-CN" w:bidi="ar"/>
              </w:rPr>
              <w:t>22</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四川省城镇生活污泥建材化利用技术规程</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适用于四川省范围内，最终处置途径为各类建材应用的城镇污水厂剩余污泥处理技术，包括干化、碳化、焚烧（含参烧）、水热氧化等处理技术。</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污泥的建材化利用及其性能指标。包括参烧水泥、基础材料、混凝土细骨料、其他建筑辅料（砂浆、轻质填料、花园土）等。建材利用处理技术。包括污泥的各处理技术（干化、碳化、焚烧、水热氧化）及其推荐的建材化利用途径。污泥建材利用评价体系。污泥预处理技术的建材利用适用性评价指标体系和计算方法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四川建筑职业技术学院、四川省生态环境科学研究院等。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color w:val="auto"/>
                <w:kern w:val="0"/>
                <w:sz w:val="24"/>
                <w:szCs w:val="24"/>
                <w:lang w:val="en-US" w:eastAsia="zh-CN" w:bidi="ar"/>
              </w:rPr>
              <w:t>23</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四川省石膏复合材料建筑楼板隔声保温工程技术规范</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适用于四川省新建和改扩建的建筑物内石膏复合材料建筑楼板隔声保温工程的设计、施工、质量检验与验收。</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对石膏复合材料建筑楼板隔声保温工程整体和不同部位提出了原材料的要求，包括石膏隔声保温复合材料、预制石膏隔声保温板、抗霉防潮石膏自流平砂浆、断桥隔声条、接缝胶带等。规定了石膏复合材料建筑楼板隔声保温工程中的施工设计要求，包括一般规定、构造设计、热工和隔声设计。规定了石膏复合材料建筑楼板隔声保温工程的施工，包括施工工序和施工要点。规定了质量检验与验收，包括一般规定、主控项目和一般项目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四川省建设科技发展与信息中心、中建西部建设建材科学研究院有限公司等。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color w:val="auto"/>
                <w:kern w:val="0"/>
                <w:sz w:val="24"/>
                <w:szCs w:val="24"/>
                <w:lang w:val="en-US" w:eastAsia="zh-CN" w:bidi="ar"/>
              </w:rPr>
              <w:t>24</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四川省近零碳社区建设与评价标准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适用于既有城市社区，新建城市社区和农村社区的近零碳建设。</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针对目前近零碳社区建设标准过于统一、差异性、针对性不足等问题，将社区按建设时间、区域位置等特征划分为三大类，结合三大类社区的自身特征，从碳排放、规划设计、节能和绿色建筑、能源系统、交通系统、水资源利用、固体废弃物处理、运营管理、个人行为倡导、提高与创新等十大方面入手，提出差异化，可实施的近零碳社区建设措施及评价体系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中建西南咨询顾问有限公司等。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color w:val="auto"/>
                <w:kern w:val="0"/>
                <w:sz w:val="24"/>
                <w:szCs w:val="24"/>
                <w:lang w:val="en-US" w:eastAsia="zh-CN" w:bidi="ar"/>
              </w:rPr>
              <w:t>25</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高耐久性薄膜光伏玻璃幕墙工程技术标准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适用于建筑工程高耐久性薄膜光伏玻璃幕墙分项工程的设计、施工和保养维护。</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主要技术内容包括材料、性能与构造、建筑设计、结构设计、电气设计、加工制作、安装施工、工程验收、保养和维修等。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中国建筑西南勘察设计研究院有限公司等。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kern w:val="0"/>
                <w:sz w:val="24"/>
                <w:szCs w:val="24"/>
                <w:lang w:val="en-US" w:eastAsia="zh-CN" w:bidi="ar"/>
              </w:rPr>
              <w:t>26</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四川省智慧工地分级评价标准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适用于四川省房屋建筑和市政基础设施工程项目智慧工地建设效果的评估评价。市（州）住建主管部门基于本指南开展评价认定工作，也适用于各建设企业建设项目开展智慧工地自评。</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主要技术内容包括评价内容、评价方法、条文说明等。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四川省建筑科学研究院有限公司、四川省建设科技发展与信息中心等。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27</w:t>
            </w:r>
          </w:p>
        </w:tc>
        <w:tc>
          <w:tcPr>
            <w:tcW w:w="2618" w:type="dxa"/>
            <w:noWrap w:val="0"/>
            <w:vAlign w:val="center"/>
          </w:tcPr>
          <w:p>
            <w:pPr>
              <w:widowControl/>
              <w:jc w:val="both"/>
              <w:textAlignment w:val="center"/>
              <w:rPr>
                <w:rFonts w:hint="eastAsia" w:ascii="仿宋" w:hAnsi="仿宋" w:eastAsia="仿宋" w:cs="仿宋"/>
                <w:bCs/>
                <w:kern w:val="0"/>
                <w:sz w:val="24"/>
                <w:szCs w:val="24"/>
                <w:lang w:bidi="ar"/>
              </w:rPr>
            </w:pPr>
            <w:r>
              <w:rPr>
                <w:rFonts w:hint="eastAsia" w:ascii="仿宋" w:hAnsi="仿宋" w:eastAsia="仿宋" w:cs="仿宋"/>
                <w:color w:val="000000"/>
                <w:kern w:val="0"/>
                <w:sz w:val="24"/>
                <w:szCs w:val="24"/>
                <w:lang w:bidi="ar"/>
              </w:rPr>
              <w:t>四川省海绵城市设施运行维护技术规程</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适用于四川省范围内的所有新建、改建及扩建项目的海绵城市设施的运营维护。</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主要技术内容包括海绵城市建设相关的渗透设施、储存设施、调节设施、转输设施和截污净化设施的运行、维护、管理的技术要求等。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四川省城乡建设研究院、成都西南交通大学设计研究院有限公司 、中国市政工程西南设计研究总院有限公司等。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28</w:t>
            </w:r>
          </w:p>
        </w:tc>
        <w:tc>
          <w:tcPr>
            <w:tcW w:w="2618" w:type="dxa"/>
            <w:noWrap w:val="0"/>
            <w:vAlign w:val="center"/>
          </w:tcPr>
          <w:p>
            <w:pPr>
              <w:widowControl/>
              <w:jc w:val="both"/>
              <w:textAlignment w:val="center"/>
              <w:rPr>
                <w:rFonts w:hint="eastAsia" w:ascii="仿宋" w:hAnsi="仿宋" w:eastAsia="仿宋" w:cs="仿宋"/>
                <w:bCs/>
                <w:kern w:val="0"/>
                <w:sz w:val="24"/>
                <w:szCs w:val="24"/>
                <w:lang w:bidi="ar"/>
              </w:rPr>
            </w:pPr>
            <w:r>
              <w:rPr>
                <w:rFonts w:hint="eastAsia" w:ascii="仿宋" w:hAnsi="仿宋" w:eastAsia="仿宋" w:cs="仿宋"/>
                <w:color w:val="000000"/>
                <w:kern w:val="0"/>
                <w:sz w:val="24"/>
                <w:szCs w:val="24"/>
                <w:lang w:bidi="ar"/>
              </w:rPr>
              <w:t>城市桥涵工程信息模型设计交付标准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适用于四川省新建、改建、扩建的城市桥涵工程在可行性研究、初步设计、施工图设计阶段的模型成果交付。</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主要技术内容包括协同管理、模型要求、交付和审核等。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成都市市政工程设计研究院有限公司等。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29</w:t>
            </w:r>
          </w:p>
        </w:tc>
        <w:tc>
          <w:tcPr>
            <w:tcW w:w="2618" w:type="dxa"/>
            <w:noWrap w:val="0"/>
            <w:vAlign w:val="center"/>
          </w:tcPr>
          <w:p>
            <w:pPr>
              <w:widowControl/>
              <w:jc w:val="both"/>
              <w:textAlignment w:val="center"/>
              <w:rPr>
                <w:rFonts w:hint="eastAsia" w:ascii="仿宋" w:hAnsi="仿宋" w:eastAsia="仿宋" w:cs="仿宋"/>
                <w:bCs/>
                <w:kern w:val="0"/>
                <w:sz w:val="24"/>
                <w:szCs w:val="24"/>
                <w:lang w:bidi="ar"/>
              </w:rPr>
            </w:pPr>
            <w:r>
              <w:rPr>
                <w:rFonts w:hint="eastAsia" w:ascii="仿宋" w:hAnsi="仿宋" w:eastAsia="仿宋" w:cs="仿宋"/>
                <w:color w:val="000000"/>
                <w:kern w:val="0"/>
                <w:sz w:val="24"/>
                <w:szCs w:val="24"/>
                <w:lang w:bidi="ar"/>
              </w:rPr>
              <w:t>四川省城镇化地区公路市政化改造技术标准</w:t>
            </w:r>
          </w:p>
        </w:tc>
        <w:tc>
          <w:tcPr>
            <w:tcW w:w="7220" w:type="dxa"/>
            <w:noWrap w:val="0"/>
            <w:vAlign w:val="center"/>
          </w:tcPr>
          <w:p>
            <w:pPr>
              <w:widowControl/>
              <w:numPr>
                <w:ilvl w:val="0"/>
                <w:numId w:val="0"/>
              </w:numPr>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适用于城市边界以及城镇化区域公路提升建设，可作为公路市政化提升的主要技术标准与设计指南，也可用于评价公路市政化提升后的效能指标。</w:t>
            </w:r>
          </w:p>
          <w:p>
            <w:pPr>
              <w:widowControl/>
              <w:numPr>
                <w:ilvl w:val="0"/>
                <w:numId w:val="0"/>
              </w:numPr>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主要技术内容包括公路市政化后的道路平纵横、路基路面、桥涵、隧道、交叉、交安设施、市政管线、景观、智慧道路等技术要点等。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成都市市政工程设计研究院有限公司、四川省公路规划勘察设计研究院有限公司等。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30</w:t>
            </w:r>
          </w:p>
        </w:tc>
        <w:tc>
          <w:tcPr>
            <w:tcW w:w="2618" w:type="dxa"/>
            <w:noWrap w:val="0"/>
            <w:vAlign w:val="center"/>
          </w:tcPr>
          <w:p>
            <w:pPr>
              <w:widowControl/>
              <w:jc w:val="both"/>
              <w:textAlignment w:val="center"/>
              <w:rPr>
                <w:rFonts w:hint="eastAsia" w:ascii="仿宋" w:hAnsi="仿宋" w:eastAsia="仿宋" w:cs="仿宋"/>
                <w:bCs/>
                <w:kern w:val="0"/>
                <w:sz w:val="24"/>
                <w:szCs w:val="24"/>
                <w:lang w:bidi="ar"/>
              </w:rPr>
            </w:pPr>
            <w:r>
              <w:rPr>
                <w:rFonts w:hint="eastAsia" w:ascii="仿宋" w:hAnsi="仿宋" w:eastAsia="仿宋" w:cs="仿宋"/>
                <w:color w:val="000000"/>
                <w:kern w:val="0"/>
                <w:sz w:val="24"/>
                <w:szCs w:val="24"/>
                <w:lang w:bidi="ar"/>
              </w:rPr>
              <w:t>四川省城镇智慧道路建设标准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适用于四川省城镇道路，包括新建、改扩建及运营道路智慧化改造。</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智慧道路分级、基础设施建设要求（路基路面、桥梁隧道、公交站台、交安设施、照明设施），路侧感知设施建设（交通、环境、道路）、重点设施监测（桥隧、管廊、管线），平台建设要求，支撑及保障体系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成都市市政工程设计研究院有限公司、四川省勘察设计协会等。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31</w:t>
            </w:r>
          </w:p>
        </w:tc>
        <w:tc>
          <w:tcPr>
            <w:tcW w:w="2618" w:type="dxa"/>
            <w:noWrap w:val="0"/>
            <w:vAlign w:val="center"/>
          </w:tcPr>
          <w:p>
            <w:pPr>
              <w:widowControl/>
              <w:jc w:val="both"/>
              <w:textAlignment w:val="center"/>
              <w:rPr>
                <w:rFonts w:hint="eastAsia" w:ascii="仿宋" w:hAnsi="仿宋" w:eastAsia="仿宋" w:cs="仿宋"/>
                <w:bCs/>
                <w:kern w:val="0"/>
                <w:sz w:val="24"/>
                <w:szCs w:val="24"/>
                <w:lang w:bidi="ar"/>
              </w:rPr>
            </w:pPr>
            <w:r>
              <w:rPr>
                <w:rFonts w:hint="eastAsia" w:ascii="仿宋" w:hAnsi="仿宋" w:eastAsia="仿宋" w:cs="仿宋"/>
                <w:color w:val="000000"/>
                <w:kern w:val="0"/>
                <w:sz w:val="24"/>
                <w:szCs w:val="24"/>
                <w:lang w:bidi="ar"/>
              </w:rPr>
              <w:t>球墨铸铁可调式防沉降检查井盖安装及维护技术规程</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适用于四川省行政区域内球墨铸铁可调式防沉降检查井盖设施（包括水箅）的安装及维护施工。</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主要技术内容包括材料进场检查、新建、改建、扩建道路检查井盖、水箅安装，检查井盖、水箅维护，质量检验等。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成都市城市道路桥梁监管服务中心（成都市检查井盖监管服务中心）等。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32</w:t>
            </w:r>
          </w:p>
        </w:tc>
        <w:tc>
          <w:tcPr>
            <w:tcW w:w="2618" w:type="dxa"/>
            <w:noWrap w:val="0"/>
            <w:vAlign w:val="center"/>
          </w:tcPr>
          <w:p>
            <w:pPr>
              <w:widowControl/>
              <w:jc w:val="both"/>
              <w:textAlignment w:val="center"/>
              <w:rPr>
                <w:rFonts w:hint="eastAsia" w:ascii="仿宋" w:hAnsi="仿宋" w:eastAsia="仿宋" w:cs="仿宋"/>
                <w:bCs/>
                <w:kern w:val="0"/>
                <w:sz w:val="24"/>
                <w:szCs w:val="24"/>
                <w:lang w:bidi="ar"/>
              </w:rPr>
            </w:pPr>
            <w:r>
              <w:rPr>
                <w:rFonts w:hint="eastAsia" w:ascii="仿宋" w:hAnsi="仿宋" w:eastAsia="仿宋" w:cs="仿宋"/>
                <w:color w:val="000000"/>
                <w:kern w:val="0"/>
                <w:sz w:val="24"/>
                <w:szCs w:val="24"/>
                <w:lang w:bidi="ar"/>
              </w:rPr>
              <w:t>四川省城镇道路地下病害体雷达检测技术标准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城镇道路地下病害体的定期常规检测以及新建、改建、扩建的道路及其附属构筑物的检测及安全风险评估。应用以探地雷达法为主、与钻探方法相结合的技术对路基空洞、结构层脱空、土体疏松区及富水区等对行人和行车安全影响较大的各类道路病害体进行检测。</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主要技术内容包括地面耦合探地雷达检测城镇道路地下病害体、钻探技术进行常规采样和病害验证、大数据技术进行道路安全指标计算等。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成都市城市道路桥梁监管服务中心、四川省城乡建设研究院等。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33</w:t>
            </w:r>
          </w:p>
        </w:tc>
        <w:tc>
          <w:tcPr>
            <w:tcW w:w="2618" w:type="dxa"/>
            <w:noWrap w:val="0"/>
            <w:vAlign w:val="center"/>
          </w:tcPr>
          <w:p>
            <w:pPr>
              <w:widowControl/>
              <w:jc w:val="both"/>
              <w:textAlignment w:val="center"/>
              <w:rPr>
                <w:rFonts w:hint="eastAsia" w:ascii="仿宋" w:hAnsi="仿宋" w:eastAsia="仿宋" w:cs="仿宋"/>
                <w:bCs/>
                <w:kern w:val="0"/>
                <w:sz w:val="24"/>
                <w:szCs w:val="24"/>
                <w:lang w:bidi="ar"/>
              </w:rPr>
            </w:pPr>
            <w:r>
              <w:rPr>
                <w:rFonts w:hint="eastAsia" w:ascii="仿宋" w:hAnsi="仿宋" w:eastAsia="仿宋" w:cs="仿宋"/>
                <w:color w:val="000000"/>
                <w:kern w:val="0"/>
                <w:sz w:val="24"/>
                <w:szCs w:val="24"/>
                <w:lang w:bidi="ar"/>
              </w:rPr>
              <w:t>四川省公园绿地应急避难设计标准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适用于四川省行政区域范围内现有公园绿地应急避难功能提升设计和新建公园绿地应急避难功能设计。</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确定应急避难功能公园绿地设计要遵循的基本原则以及设计依据、明确应急避难功能公园绿地分级配置及要求、提出应急避难功能公园绿地选址的原则、明确应急避难功能公园绿地功能分区及设计要求、提出应急交通设计、种植设计及设施配置要求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成都市公园城市建设发展研究院（成都市风景园林规划设计院）等。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45" w:type="dxa"/>
            <w:noWrap w:val="0"/>
            <w:vAlign w:val="center"/>
          </w:tcPr>
          <w:p>
            <w:pPr>
              <w:widowControl/>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34</w:t>
            </w:r>
          </w:p>
        </w:tc>
        <w:tc>
          <w:tcPr>
            <w:tcW w:w="2618" w:type="dxa"/>
            <w:noWrap w:val="0"/>
            <w:vAlign w:val="center"/>
          </w:tcPr>
          <w:p>
            <w:pPr>
              <w:widowControl/>
              <w:jc w:val="both"/>
              <w:textAlignment w:val="center"/>
              <w:rPr>
                <w:rFonts w:hint="eastAsia" w:ascii="仿宋" w:hAnsi="仿宋" w:eastAsia="仿宋" w:cs="仿宋"/>
                <w:bCs/>
                <w:kern w:val="0"/>
                <w:sz w:val="24"/>
                <w:szCs w:val="24"/>
                <w:lang w:bidi="ar"/>
              </w:rPr>
            </w:pPr>
            <w:r>
              <w:rPr>
                <w:rFonts w:hint="eastAsia" w:ascii="仿宋" w:hAnsi="仿宋" w:eastAsia="仿宋" w:cs="仿宋"/>
                <w:color w:val="000000"/>
                <w:kern w:val="0"/>
                <w:sz w:val="24"/>
                <w:szCs w:val="24"/>
                <w:lang w:bidi="ar"/>
              </w:rPr>
              <w:t>四川省电动汽车充电设施建设技术标准</w:t>
            </w:r>
          </w:p>
        </w:tc>
        <w:tc>
          <w:tcPr>
            <w:tcW w:w="7220" w:type="dxa"/>
            <w:noWrap w:val="0"/>
            <w:vAlign w:val="center"/>
          </w:tcPr>
          <w:p>
            <w:pPr>
              <w:widowControl/>
              <w:numPr>
                <w:ilvl w:val="0"/>
                <w:numId w:val="0"/>
              </w:numPr>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适用于四川省行政区内既有社区（建筑）内和新建社区（建筑）内，电动汽车充电设施的新建、改（扩）建工程。</w:t>
            </w:r>
          </w:p>
          <w:p>
            <w:pPr>
              <w:widowControl/>
              <w:numPr>
                <w:ilvl w:val="0"/>
                <w:numId w:val="0"/>
              </w:numPr>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主要技术内容包括规划及选址、充电设施设计、供配电设计、监控与计量计费系统、土建及配套设施设计、施工与验收、运营管理等。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四川省建筑设计研究院有限公司等。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45" w:type="dxa"/>
            <w:noWrap w:val="0"/>
            <w:vAlign w:val="center"/>
          </w:tcPr>
          <w:p>
            <w:pPr>
              <w:widowControl/>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35</w:t>
            </w:r>
          </w:p>
        </w:tc>
        <w:tc>
          <w:tcPr>
            <w:tcW w:w="2618" w:type="dxa"/>
            <w:noWrap w:val="0"/>
            <w:vAlign w:val="center"/>
          </w:tcPr>
          <w:p>
            <w:pPr>
              <w:widowControl/>
              <w:jc w:val="both"/>
              <w:textAlignment w:val="center"/>
              <w:rPr>
                <w:rFonts w:hint="eastAsia" w:ascii="仿宋" w:hAnsi="仿宋" w:eastAsia="仿宋" w:cs="仿宋"/>
                <w:bCs/>
                <w:kern w:val="0"/>
                <w:sz w:val="24"/>
                <w:szCs w:val="24"/>
                <w:lang w:bidi="ar"/>
              </w:rPr>
            </w:pPr>
            <w:r>
              <w:rPr>
                <w:rFonts w:hint="eastAsia" w:ascii="仿宋" w:hAnsi="仿宋" w:eastAsia="仿宋" w:cs="仿宋"/>
                <w:color w:val="000000"/>
                <w:kern w:val="0"/>
                <w:sz w:val="24"/>
                <w:szCs w:val="24"/>
                <w:lang w:bidi="ar"/>
              </w:rPr>
              <w:t>四川省公园城市</w:t>
            </w:r>
            <w:r>
              <w:rPr>
                <w:rFonts w:hint="eastAsia" w:ascii="仿宋" w:hAnsi="仿宋" w:eastAsia="仿宋" w:cs="仿宋"/>
                <w:color w:val="000000"/>
                <w:kern w:val="0"/>
                <w:sz w:val="24"/>
                <w:szCs w:val="24"/>
                <w:lang w:eastAsia="zh-CN" w:bidi="ar"/>
              </w:rPr>
              <w:t>建设评价</w:t>
            </w:r>
            <w:r>
              <w:rPr>
                <w:rFonts w:hint="eastAsia" w:ascii="仿宋" w:hAnsi="仿宋" w:eastAsia="仿宋" w:cs="仿宋"/>
                <w:color w:val="000000"/>
                <w:kern w:val="0"/>
                <w:sz w:val="24"/>
                <w:szCs w:val="24"/>
                <w:lang w:bidi="ar"/>
              </w:rPr>
              <w:t>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行政辖区内城市公园城市的规划与设计建设评价工作，规定了公园城市规划、设计建设评价的基本准则和要求，包括生态、人居、服务、风貌等方面，对四川各地高质量可持续发展、打造美丽宜居公园城市提供决策依据与方法指引。</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主要技术内容包括生态环境、人居环境、生活服务、安全韧性、特色风貌、绿色发展、社会治理等。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四川省建筑设计研究院有限公司、成都市公园城市建设发展研究院、四川天府新区公园城市建设局等。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45" w:type="dxa"/>
            <w:noWrap w:val="0"/>
            <w:vAlign w:val="center"/>
          </w:tcPr>
          <w:p>
            <w:pPr>
              <w:widowControl/>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36</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bCs/>
                <w:kern w:val="0"/>
                <w:sz w:val="24"/>
                <w:szCs w:val="24"/>
                <w:lang w:bidi="ar"/>
              </w:rPr>
              <w:t>城市综合管廊工程施工及质量验收规范</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适用于新建、扩建、改建综合管廊工程的施工及质量验收。</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施工测量、地基与基础、现浇混凝土综合管廊结构、装配式综合管廊结构、盖挖法、浅埋暗挖法、矿山法、盾构法、TBM法、预制顶推法、附属构筑物、防水工程、监控量测、机电设备安装、监控报警及智慧管理系统、季节性施工、环境保护、质量验收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中国建筑一局（集团）有限公司等。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945" w:type="dxa"/>
            <w:noWrap w:val="0"/>
            <w:vAlign w:val="center"/>
          </w:tcPr>
          <w:p>
            <w:pPr>
              <w:widowControl/>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37</w:t>
            </w:r>
          </w:p>
        </w:tc>
        <w:tc>
          <w:tcPr>
            <w:tcW w:w="2618" w:type="dxa"/>
            <w:noWrap w:val="0"/>
            <w:vAlign w:val="center"/>
          </w:tcPr>
          <w:p>
            <w:pPr>
              <w:widowControl/>
              <w:jc w:val="both"/>
              <w:textAlignment w:val="center"/>
              <w:rPr>
                <w:rFonts w:hint="eastAsia" w:ascii="仿宋" w:hAnsi="仿宋" w:eastAsia="仿宋" w:cs="仿宋"/>
                <w:bCs/>
                <w:kern w:val="0"/>
                <w:sz w:val="24"/>
                <w:szCs w:val="24"/>
                <w:lang w:bidi="ar"/>
              </w:rPr>
            </w:pPr>
            <w:r>
              <w:rPr>
                <w:rFonts w:hint="eastAsia" w:ascii="仿宋" w:hAnsi="仿宋" w:eastAsia="仿宋" w:cs="仿宋"/>
                <w:color w:val="000000"/>
                <w:kern w:val="0"/>
                <w:sz w:val="24"/>
                <w:szCs w:val="24"/>
                <w:lang w:bidi="ar"/>
              </w:rPr>
              <w:t>四川省厨余垃圾处理技术标准</w:t>
            </w:r>
          </w:p>
        </w:tc>
        <w:tc>
          <w:tcPr>
            <w:tcW w:w="7220" w:type="dxa"/>
            <w:noWrap w:val="0"/>
            <w:vAlign w:val="center"/>
          </w:tcPr>
          <w:p>
            <w:pPr>
              <w:widowControl/>
              <w:numPr>
                <w:ilvl w:val="0"/>
                <w:numId w:val="0"/>
              </w:numPr>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适用于四川地区新建、扩建和改建的永久性餐厨垃圾处理工程设计。</w:t>
            </w:r>
          </w:p>
          <w:p>
            <w:pPr>
              <w:widowControl/>
              <w:numPr>
                <w:ilvl w:val="0"/>
                <w:numId w:val="0"/>
              </w:numPr>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主要技术内容包括厨余垃圾的收集与运输、厂址选择、总体设计、厨余垃圾计量、接受与输送、厨余垃圾处理工艺、辅助工程、工程施工及验收等。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四川省建筑设计研究院有限公司等。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38</w:t>
            </w:r>
          </w:p>
        </w:tc>
        <w:tc>
          <w:tcPr>
            <w:tcW w:w="2618" w:type="dxa"/>
            <w:noWrap w:val="0"/>
            <w:vAlign w:val="center"/>
          </w:tcPr>
          <w:p>
            <w:pPr>
              <w:widowControl/>
              <w:jc w:val="both"/>
              <w:textAlignment w:val="center"/>
              <w:rPr>
                <w:rFonts w:hint="eastAsia" w:ascii="仿宋" w:hAnsi="仿宋" w:eastAsia="仿宋" w:cs="仿宋"/>
                <w:bCs/>
                <w:kern w:val="0"/>
                <w:sz w:val="24"/>
                <w:szCs w:val="24"/>
                <w:lang w:bidi="ar"/>
              </w:rPr>
            </w:pPr>
            <w:r>
              <w:rPr>
                <w:rFonts w:hint="eastAsia" w:ascii="仿宋" w:hAnsi="仿宋" w:eastAsia="仿宋" w:cs="仿宋"/>
                <w:color w:val="000000"/>
                <w:kern w:val="0"/>
                <w:sz w:val="24"/>
                <w:szCs w:val="24"/>
                <w:lang w:bidi="ar"/>
              </w:rPr>
              <w:t>四川省村镇生活污水处理技术标准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适用于四川省行政区内镇区常住人口不超过30000人的建制镇镇区及乡村生活污水处理设施新建、改建和扩建项目的设计、建设和运行管理。</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对建制镇和乡村污水处理设施的设计水量组成、计算方式、污水定额取值、总变化系数等作出技术要求。对建制镇和乡村污水收集系统规划设计做出指导性技术要求，包括污水管渠、附属设施、污水泵站等。对建制镇和乡村污水处理系统设计做出指导性技术要求，包括厂址选择、总体布置、工艺选择、污泥处置以及检测控制等。对建制镇和乡村污水处理设施施工验收做出指导性技术要求，包括施工、安装、调试及验收等。对建制镇和乡村污水处理设施运行管理做出指导性技术要求，包括管网运行、厂站运行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中国市政工程西南设计研究总院有限公司、成都市市政工程设计研究院有限公司、成都沃特供水工程设计有限公司等。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spacing w:line="240" w:lineRule="auto"/>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39</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bCs/>
                <w:kern w:val="0"/>
                <w:sz w:val="24"/>
                <w:szCs w:val="24"/>
                <w:lang w:eastAsia="zh-CN" w:bidi="ar"/>
              </w:rPr>
              <w:t>四川省高寒高海拔地区城镇生活污水处理技术规程</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适用于高寒高海拔地区城镇生活污水处理厂新建、改造项目的设计、建设和运行管理。</w:t>
            </w:r>
          </w:p>
          <w:p>
            <w:pPr>
              <w:widowControl/>
              <w:jc w:val="both"/>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结合四川省高寒高海拔城镇生活污水处理厂污水处理技术现状，对于城镇生活污水厂污水处理工艺选择，升温保温方案选提出技术指导。对四川省高寒高海拔城镇生活污水处理厂污水处理设施，提出建设及应用要求。对四川省高寒高海拔城镇生活污水处理厂的运行管理提出规范和要求。</w:t>
            </w:r>
          </w:p>
        </w:tc>
        <w:tc>
          <w:tcPr>
            <w:tcW w:w="2192" w:type="dxa"/>
            <w:noWrap w:val="0"/>
            <w:vAlign w:val="center"/>
          </w:tcPr>
          <w:p>
            <w:pPr>
              <w:keepNext w:val="0"/>
              <w:keepLines w:val="0"/>
              <w:widowControl/>
              <w:suppressLineNumbers w:val="0"/>
              <w:jc w:val="both"/>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中国市政工程西南设计研究总院有限公司等。</w:t>
            </w:r>
          </w:p>
        </w:tc>
        <w:tc>
          <w:tcPr>
            <w:tcW w:w="1095" w:type="dxa"/>
            <w:noWrap w:val="0"/>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spacing w:line="240" w:lineRule="auto"/>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40</w:t>
            </w:r>
          </w:p>
        </w:tc>
        <w:tc>
          <w:tcPr>
            <w:tcW w:w="2618" w:type="dxa"/>
            <w:noWrap w:val="0"/>
            <w:vAlign w:val="center"/>
          </w:tcPr>
          <w:p>
            <w:pPr>
              <w:widowControl/>
              <w:spacing w:line="240" w:lineRule="auto"/>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bCs/>
                <w:kern w:val="0"/>
                <w:sz w:val="24"/>
                <w:szCs w:val="24"/>
                <w:lang w:bidi="ar"/>
              </w:rPr>
              <w:t xml:space="preserve">四川省农村居住建筑抗震技术规程 </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适用于四川省农村居住建筑的抗震设计、施工、质量控制和检查验收。</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增加底框砌体结构、现代夯土结构、装配式混凝土结构、轻钢结构等居住建筑的设计、施工、质量控制和检查验收相应的抗震要求。结合近两年发布实施的全文强制通用规范的要求和原技术规程发布实施后历次地震的震害经验对原有技术内容进行修订完善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四川省建筑科学研究院有限公司等。</w:t>
            </w:r>
          </w:p>
        </w:tc>
        <w:tc>
          <w:tcPr>
            <w:tcW w:w="1095" w:type="dxa"/>
            <w:noWrap w:val="0"/>
            <w:vAlign w:val="center"/>
          </w:tcPr>
          <w:p>
            <w:pPr>
              <w:widowControl/>
              <w:spacing w:line="240" w:lineRule="auto"/>
              <w:jc w:val="center"/>
              <w:textAlignment w:val="center"/>
              <w:rPr>
                <w:rFonts w:hint="eastAsia" w:ascii="仿宋" w:hAnsi="仿宋" w:eastAsia="仿宋" w:cs="仿宋"/>
                <w:i w:val="0"/>
                <w:caps w:val="0"/>
                <w:color w:val="333333"/>
                <w:spacing w:val="0"/>
                <w:kern w:val="0"/>
                <w:sz w:val="24"/>
                <w:szCs w:val="24"/>
                <w:shd w:val="clear" w:color="auto" w:fill="FFFFFF"/>
                <w:lang w:val="en-US" w:eastAsia="zh-CN" w:bidi="ar"/>
              </w:rPr>
            </w:pPr>
            <w:r>
              <w:rPr>
                <w:rFonts w:hint="eastAsia" w:ascii="仿宋" w:hAnsi="仿宋" w:eastAsia="仿宋" w:cs="仿宋"/>
                <w:bCs/>
                <w:kern w:val="0"/>
                <w:sz w:val="24"/>
                <w:szCs w:val="24"/>
                <w:lang w:eastAsia="zh-CN" w:bidi="ar"/>
              </w:rPr>
              <w:t>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spacing w:line="240" w:lineRule="auto"/>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41</w:t>
            </w:r>
          </w:p>
        </w:tc>
        <w:tc>
          <w:tcPr>
            <w:tcW w:w="2618" w:type="dxa"/>
            <w:noWrap w:val="0"/>
            <w:vAlign w:val="center"/>
          </w:tcPr>
          <w:p>
            <w:pPr>
              <w:widowControl/>
              <w:spacing w:line="240" w:lineRule="auto"/>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bCs/>
                <w:kern w:val="0"/>
                <w:sz w:val="24"/>
                <w:szCs w:val="24"/>
                <w:lang w:bidi="ar"/>
              </w:rPr>
              <w:t>四川省现浇混凝土钢丝网架免拆模板保温系统技术标准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适用于四川省现浇混凝土钢丝网架免拆模板保温系统的技术标准,作为设计、施工的参考依据。</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主要技术内容包括对采取的具体技术措施、系统、材料、设计、施工、验收等要求进行详细说明等。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四川大学、中国建筑西南设计研究院有限公司等。</w:t>
            </w:r>
          </w:p>
        </w:tc>
        <w:tc>
          <w:tcPr>
            <w:tcW w:w="1095" w:type="dxa"/>
            <w:noWrap w:val="0"/>
            <w:vAlign w:val="center"/>
          </w:tcPr>
          <w:p>
            <w:pPr>
              <w:widowControl/>
              <w:spacing w:line="240" w:lineRule="auto"/>
              <w:jc w:val="center"/>
              <w:textAlignment w:val="center"/>
              <w:rPr>
                <w:rFonts w:hint="eastAsia" w:ascii="仿宋" w:hAnsi="仿宋" w:eastAsia="仿宋" w:cs="仿宋"/>
                <w:i w:val="0"/>
                <w:caps w:val="0"/>
                <w:color w:val="333333"/>
                <w:spacing w:val="0"/>
                <w:kern w:val="0"/>
                <w:sz w:val="24"/>
                <w:szCs w:val="24"/>
                <w:shd w:val="clear" w:color="auto" w:fill="FFFFFF"/>
                <w:lang w:val="en-US" w:eastAsia="zh-CN" w:bidi="ar"/>
              </w:rPr>
            </w:pPr>
            <w:r>
              <w:rPr>
                <w:rFonts w:hint="eastAsia" w:ascii="仿宋" w:hAnsi="仿宋" w:eastAsia="仿宋" w:cs="仿宋"/>
                <w:bCs/>
                <w:kern w:val="0"/>
                <w:sz w:val="24"/>
                <w:szCs w:val="24"/>
                <w:lang w:eastAsia="zh-CN" w:bidi="ar"/>
              </w:rPr>
              <w:t>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spacing w:line="240" w:lineRule="auto"/>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42</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bCs/>
                <w:kern w:val="0"/>
                <w:sz w:val="24"/>
                <w:szCs w:val="24"/>
                <w:lang w:bidi="ar"/>
              </w:rPr>
              <w:t xml:space="preserve">建筑反射隔热材料应用技术规程 </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适用于四川省夏热冬冷、温和地区新建、改建和扩建的民用建筑外墙、屋面采用建筑反射隔热材料外饰面工程的设计、施工及验收。</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主要技术内容包括构造及材料性能、设计、施工、验收。修订的主要内容包括在现有反射隔热涂料基础上，增加其他反射隔热饰面层材料、给出不同反射隔热材料在不同情况下的等效热阻、增加反射隔热材料的性能指标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四川省建筑科学研究院有限公司等。</w:t>
            </w:r>
          </w:p>
        </w:tc>
        <w:tc>
          <w:tcPr>
            <w:tcW w:w="1095" w:type="dxa"/>
            <w:noWrap w:val="0"/>
            <w:vAlign w:val="center"/>
          </w:tcPr>
          <w:p>
            <w:pPr>
              <w:widowControl/>
              <w:jc w:val="center"/>
              <w:textAlignment w:val="center"/>
              <w:rPr>
                <w:rFonts w:hint="eastAsia" w:ascii="仿宋" w:hAnsi="仿宋" w:eastAsia="仿宋" w:cs="仿宋"/>
                <w:i w:val="0"/>
                <w:caps w:val="0"/>
                <w:color w:val="333333"/>
                <w:spacing w:val="0"/>
                <w:kern w:val="0"/>
                <w:sz w:val="24"/>
                <w:szCs w:val="24"/>
                <w:shd w:val="clear" w:color="auto" w:fill="FFFFFF"/>
                <w:lang w:val="en-US" w:eastAsia="zh-CN" w:bidi="ar"/>
              </w:rPr>
            </w:pPr>
            <w:r>
              <w:rPr>
                <w:rFonts w:hint="eastAsia" w:ascii="仿宋" w:hAnsi="仿宋" w:eastAsia="仿宋" w:cs="仿宋"/>
                <w:bCs/>
                <w:kern w:val="0"/>
                <w:sz w:val="24"/>
                <w:szCs w:val="24"/>
                <w:lang w:eastAsia="zh-CN" w:bidi="ar"/>
              </w:rPr>
              <w:t>修订</w:t>
            </w:r>
          </w:p>
        </w:tc>
      </w:tr>
    </w:tbl>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MGExN2Y1ZDU2OTc2NDQxNGEyZWQyZjAxYjI3NGEifQ=="/>
  </w:docVars>
  <w:rsids>
    <w:rsidRoot w:val="3D996F13"/>
    <w:rsid w:val="3D99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cs="Cambria"/>
      <w:sz w:val="24"/>
      <w:szCs w:val="24"/>
    </w:rPr>
  </w:style>
  <w:style w:type="paragraph" w:styleId="3">
    <w:name w:val="Body Text"/>
    <w:basedOn w:val="1"/>
    <w:qFormat/>
    <w:uiPriority w:val="0"/>
    <w:pPr>
      <w:widowControl w:val="0"/>
      <w:spacing w:after="120" w:afterLines="0"/>
      <w:jc w:val="both"/>
    </w:pPr>
    <w:rPr>
      <w:rFonts w:ascii="Calibri" w:hAnsi="Calibri" w:eastAsia="宋体" w:cs="Times New Roman"/>
      <w:kern w:val="0"/>
      <w:sz w:val="20"/>
      <w:szCs w:val="32"/>
      <w:lang w:val="en-US" w:eastAsia="zh-CN" w:bidi="ar-SA"/>
    </w:rPr>
  </w:style>
  <w:style w:type="paragraph" w:styleId="4">
    <w:name w:val="footer"/>
    <w:basedOn w:val="1"/>
    <w:uiPriority w:val="0"/>
    <w:pPr>
      <w:tabs>
        <w:tab w:val="center" w:pos="4153"/>
        <w:tab w:val="right" w:pos="8306"/>
      </w:tabs>
      <w:snapToGrid w:val="0"/>
      <w:jc w:val="left"/>
    </w:pPr>
    <w:rPr>
      <w:sz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8536</Words>
  <Characters>8578</Characters>
  <Lines>0</Lines>
  <Paragraphs>0</Paragraphs>
  <TotalTime>0</TotalTime>
  <ScaleCrop>false</ScaleCrop>
  <LinksUpToDate>false</LinksUpToDate>
  <CharactersWithSpaces>8581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2023-03-16T09:57:00Z</dcterms:created>
  <dc:creator>海一</dc:creator>
  <cp:lastModifiedBy>海一</cp:lastModifiedBy>
  <dcterms:modified xsi:type="dcterms:W3CDTF">2023-03-16T09:57:52Z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8D3F2621F51C4FF5BF88DC28DBCB95CD</vt:lpwstr>
  </property>
</Properties>
</file>