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56"/>
          <w:szCs w:val="5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《中华人民共和国2022年国民经济和社会发展统计公报》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napToGrid w:val="0"/>
          <w:color w:val="auto"/>
          <w:spacing w:val="0"/>
          <w:kern w:val="44"/>
          <w:sz w:val="24"/>
          <w:szCs w:val="24"/>
          <w:u w:val="none"/>
          <w:lang w:val="en-US" w:eastAsia="zh-CN" w:bidi="ar"/>
        </w:rPr>
        <w:t>国家统计局发布：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2022年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  <w:t>建筑业增加值83383亿元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  <w:t>增长5.5%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0"/>
          <w:sz w:val="19"/>
          <w:szCs w:val="19"/>
        </w:rPr>
        <w:t>初步核算，全年国内生产总值1210207亿元，比上年增长3.0%。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Style w:val="6"/>
          <w:color w:val="000000"/>
          <w:sz w:val="19"/>
          <w:szCs w:val="19"/>
        </w:rPr>
        <w:t>全年建筑业增加值83383亿元，比上年增长5.5%。</w:t>
      </w:r>
      <w:r>
        <w:rPr>
          <w:sz w:val="19"/>
          <w:szCs w:val="19"/>
        </w:rPr>
        <w:t>全</w:t>
      </w:r>
      <w:bookmarkStart w:id="0" w:name="_GoBack"/>
      <w:bookmarkEnd w:id="0"/>
      <w:r>
        <w:rPr>
          <w:sz w:val="19"/>
          <w:szCs w:val="19"/>
        </w:rPr>
        <w:t>国具有资质等级的总承包和专业承包建筑业企业利润8369亿元，比上年下降1.2%，其中国有控股企业3922亿元，增长8.4%</w:t>
      </w:r>
      <w:r>
        <w:rPr>
          <w:rFonts w:hint="eastAsia"/>
          <w:sz w:val="19"/>
          <w:szCs w:val="19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19"/>
          <w:szCs w:val="19"/>
        </w:rPr>
      </w:pPr>
      <w:r>
        <w:rPr>
          <w:rStyle w:val="6"/>
          <w:rFonts w:hint="eastAsia" w:ascii="仿宋" w:hAnsi="仿宋" w:eastAsia="仿宋" w:cs="仿宋"/>
          <w:color w:val="000000"/>
          <w:sz w:val="19"/>
          <w:szCs w:val="19"/>
        </w:rPr>
        <w:t>全年房地产开发投资</w:t>
      </w:r>
      <w:r>
        <w:rPr>
          <w:rStyle w:val="6"/>
          <w:rFonts w:eastAsia="宋体"/>
          <w:color w:val="000000"/>
          <w:sz w:val="19"/>
          <w:szCs w:val="19"/>
        </w:rPr>
        <w:t>132895</w:t>
      </w:r>
      <w:r>
        <w:rPr>
          <w:rStyle w:val="6"/>
          <w:rFonts w:hint="eastAsia" w:ascii="仿宋" w:hAnsi="仿宋" w:eastAsia="仿宋" w:cs="仿宋"/>
          <w:color w:val="000000"/>
          <w:sz w:val="19"/>
          <w:szCs w:val="19"/>
        </w:rPr>
        <w:t>亿元，比上年下降</w:t>
      </w:r>
      <w:r>
        <w:rPr>
          <w:rStyle w:val="6"/>
          <w:rFonts w:eastAsia="宋体"/>
          <w:color w:val="000000"/>
          <w:sz w:val="19"/>
          <w:szCs w:val="19"/>
        </w:rPr>
        <w:t>10.0%。</w:t>
      </w:r>
      <w:r>
        <w:rPr>
          <w:sz w:val="19"/>
          <w:szCs w:val="19"/>
        </w:rPr>
        <w:t>其中住宅投资100646亿元，下降9.5%；办公楼投资5291亿元，下降11.4%；商业营业用房投资10647亿元，下降14.4%。年末商品房待售面积56366万平方米，比上年末增加5343万平方米，其中商品住宅待售面积26947万平方米，增加4186万平方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eastAsia" w:ascii="仿宋" w:hAnsi="仿宋" w:eastAsia="仿宋" w:cs="仿宋"/>
          <w:color w:val="000000"/>
          <w:sz w:val="19"/>
          <w:szCs w:val="19"/>
        </w:rPr>
        <w:t>全年全国各类棚户区改造开工</w:t>
      </w:r>
      <w:r>
        <w:rPr>
          <w:rStyle w:val="6"/>
          <w:sz w:val="19"/>
          <w:szCs w:val="19"/>
        </w:rPr>
        <w:t>134万套，基本建成181万套</w:t>
      </w:r>
      <w:r>
        <w:rPr>
          <w:sz w:val="19"/>
          <w:szCs w:val="19"/>
        </w:rPr>
        <w:t>；全国保障性租赁住房开工建设和筹集265万套（间）。全年全国新开工改造城镇老旧小区5.25万个，涉及居民876万户。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7AAA"/>
          <w:spacing w:val="0"/>
          <w:sz w:val="19"/>
          <w:szCs w:val="19"/>
        </w:rPr>
        <w:t>公报全文如下：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2022年，各地区统筹国内国际两个大局，统筹疫情防控和经济社会发展，统筹发展和安全，坚持稳中求进工作总基调，完整、准确、全面贯彻新发展理念，加快构建新发展格局，着力推动高质量发展，加大宏观调控力度，应对超预期因素冲击，经济保持增长，发展质量稳步提升，创新驱动深入推进，改革开放蹄疾步稳，就业物价总体平稳，粮食安全、能源安全和人民生活得到有效保障，经济社会大局保持稳定，全面建设社会主义现代化国家新征程迈出坚实步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一、综合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初步核算，全年国内生产总值1210207亿元，比上年增长3.0%。其中，第一产业增加值88345亿元，比上年增长4.1%；第二产业增加值483164亿元，增长3.8%；第三产业增加值638698亿元，增长2.3%。第一产业增加值占国内生产总值比重为7.3%，第二产业增加值比重为39.9%，第三产业增加值比重为52.8%。全年最终消费支出拉动国内生产总值增长1.0个百分点，资本形成总额拉动国内生产总值增长1.5个百分点，货物和服务净出口拉动国内生产总值增长0.5个百分点。全年人均国内生产总值85698元，比上年增长3.0%。国民总收入1197215亿元，比上年增长2.8%。全员劳动生产率为152977元/人，比上年提高4.2%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年末全国人口141175万人，比上年末减少85万人，其中城镇常住人口92071万人。全年出生人口956万人，出生率为6.77‰；死亡人口1041万人，死亡率为7.37‰；自然增长率为-0.60‰。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就业人员73351万人，其中城镇就业人员45931万人，占全国就业人员比重为62.6%。全年城镇新增就业1206万人，比上年少增63万人。全年全国城镇调查失业率平均值为5.6%。年末全国城镇调查失业率为5.5%。全国农民工总量29562万人，比上年增长1.1%。其中，外出农民工17190万人，增长0.1%；本地农民工12372万人，增长2.4%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居民消费价格比上年上涨2.0%。工业生产者出厂价格上涨4.1%。工业生产者购进价格上涨6.1%。农产品生产者价格上涨0.4%。12月份，70个大中城市中，新建商品住宅销售价格同比上涨的城市个数为16个，持平的为1个，下降的为53个；二手住宅销售价格同比上涨的城市个数为6个，下降的为64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年末国家外汇储备31277亿美元，比上年末减少1225亿美元。全年人民币平均汇率为1美元兑6.7261元人民币，比上年贬值4.1%。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新产业新业态新模式较快成长。全年规模以上工业中，高技术制造业增加值比上年增长7.4%，占规模以上工业增加值的比重为15.5%；装备制造业增加值增长5.6%，占规模以上工业增加值的比重为31.8%。全年规模以上服务业中，战略性新兴服务业企业营业收入比上年增长4.8%。全年高技术产业投资比上年增长18.9%。全年新能源汽车产量700.3万辆，比上年增长90.5%；太阳能电池（光伏电池）产量3.4亿千瓦，增长46.8%。全年电子商务交易额438299亿元，按可比口径计算，比上年增长3.5%。全年网上零售额137853亿元，按可比口径计算，比上年增长4.0%。全年新登记市场主体2908万户，日均新登记企业2.4万户，年末市场主体总数近1.7亿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城乡区域协调发展稳步推进。年末全国常住人口城镇化率为65.22%，比上年末提高0.50个百分点。分区域看，全年东部地区生产总值622018亿元，比上年增长2.5%；中部地区生产总值266513亿元，增长4.0%；西部地区生产总值256985亿元，增长3.2%；东北地区生产总值57946亿元，增长1.3%。全年京津冀地区生产总值100293亿元，比上年增长2.0%；长江经济带地区生产总值559766亿元，增长3.0%；长江三角洲地区生产总值290289亿元，增长2.5%。粤港澳大湾区建设、黄河流域生态保护和高质量发展等区域重大战略扎实推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绿色转型发展迈出新步伐。全年全国万元国内生产总值能耗比上年下降0.1%。全年水电、核电、风电、太阳能发电等清洁能源发电量29599亿千瓦时，比上年增长8.5%。在监测的339个地级及以上城市中，全年空气质量达标的城市占62.8%，未达标的城市占37.2%；细颗粒物（PM2.5）年平均浓度29微克/立方米，比上年下降3.3%。3641个国家地表水考核断面中，全年水质优良（Ⅰ～Ⅲ类）断面比例为87.9%，Ⅳ类断面比例为9.7%，Ⅴ类断面比例为1.7%，劣Ⅴ类断面比例为0.7%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二、农业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粮食种植面积11833万公顷，比上年增加70万公顷。其中，稻谷种植面积2945万公顷，减少47万公顷；小麦种植面积2352万公顷，减少5万公顷；玉米种植面积4307万公顷，减少25万公顷；大豆种植面积1024万公顷，增加183万公顷。棉花种植面积300万公顷，减少3万公顷。油料种植面积1314万公顷，增加4万公顷。糖料种植面积147万公顷，增加1万公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粮食产量68653万吨，比上年增加368万吨，增产0.5%。其中，夏粮产量14740万吨，增产1.0%；早稻产量2812万吨，增产0.4%；秋粮产量51100万吨，增产0.4%。全年谷物产量63324万吨，比上年增产0.1%。其中，稻谷产量20849万吨，减产2.0%；小麦产量13772万吨，增产0.6%；玉米产量27720万吨，增产1.7%。大豆产量2028万吨，增产23.7%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全年棉花产量598万吨，比上年增产4.3%。油料产量3653万吨，增产1.1%。糖料产量11444万吨，减产0.1%。茶叶产量335万吨，增产5.7%。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猪牛羊禽肉产量9227万吨，比上年增长3.8%。其中，猪肉产量5541万吨，增长4.6%；牛肉产量718万吨，增长3.0%；羊肉产量525万吨，增长2.0%；禽肉产量2443万吨，增长2.6%。禽蛋产量3456万吨，增长1.4%。牛奶产量3932万吨，增长6.8%。年末生猪存栏45256万头，比上年末增长0.7%；全年生猪出栏69995万头，比上年增长4.3%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全年水产品产量6869万吨，比上年增长2.7%。其中，养殖水产品产量5568万吨，增长3.2%；捕捞水产品产量1301万吨，增长0.4%。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全年木材产量10693万立方米，比上年下降7.7%。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全年新增耕地灌溉面积78万公顷，新增高效节水灌溉面积161万公顷。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三、工业和建筑业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部工业增加值401644亿元，比上年增长3.4%。规模以上工业增加值增长3.6%。在规模以上工业中，分经济类型看，国有控股企业增加值增长3.3%；股份制企业增长4.8%，外商及港澳台商投资企业下降1.0%；私营企业增长2.9%。分门类看，采矿业增长7.3%，制造业增长3.0%，电力、热力、燃气及水生产和供应业增长5.0%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规模以上工业中，农副食品加工业增加值比上年增长0.7%，纺织业下降2.7%，化学原料和化学制品制造业增长6.6%，非金属矿物制品业下降1.5%，黑色金属冶炼和压延加工业增长1.2%，通用设备制造业下降1.2%，专用设备制造业增长3.6%，汽车制造业增长6.3%，电气机械和器材制造业增长11.9%，计算机、通信和其他电子设备制造业增长7.6%，电力、热力生产和供应业增长5.1%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发电装机容量256405万千瓦，比上年末增长7.8%。其中，火电装机容量133239万千瓦，增长2.7%；水电装机容量41350万千瓦，增长5.8%；核电装机容量5553万千瓦，增长4.3%；并网风电装机容量36544万千瓦，增长11.2%；并网太阳能发电装机容量39261万千瓦，增长28.1%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规模以上工业企业利润84039亿元，比上年下降4.0%。分经济类型看，国有控股企业利润23792亿元，比上年增长3.0%；股份制企业61611亿元，下降2.7%，外商及港澳台商投资企业20040亿元，下降9.5%；私营企业26638亿元，下降7.2%。分门类看，采矿业利润15574亿元，比上年增长48.6%；制造业64150亿元，下降13.4%；电力、热力、燃气及水生产和供应业4315亿元，增长41.8%。全年规模以上工业企业每百元营业收入中的成本为84.72元，比上年增加0.91元；营业收入利润率为6.09%，下降0.64个百分点。年末规模以上工业企业资产负债率为56.6%，比上年末上升0.3个百分点。全年全国工业产能利用率为75.6%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全年建筑业增加值83383亿元，比上年增长5.5%。全国具有资质等级的总承包和专业承包建筑业企业利润8369亿元，比上年下降1.2%，其中国有控股企业3922亿元，增长8.4%。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四、服务业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批发和零售业增加值114518亿元，比上年增长0.9%；交通运输、仓储和邮政业增加值49674亿元，下降0.8%；住宿和餐饮业增加值17855亿元，下降2.3%；金融业增加值96811亿元，增长5.6%；房地产业增加值73821亿元，下降5.1%；信息传输、软件和信息技术服务业增加值47934亿元，增长9.1%；租赁和商务服务业增加值39153亿元，增长3.4%。全年规模以上服务业企业营业收入比上年增长2.7%，利润总额增长8.5%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全年货物运输总量506亿吨，货物运输周转量226122亿吨公里。全年港口完成货物吞吐量157亿吨，比上年增长0.9%，其中外贸货物吞吐量46亿吨，下降1.9%。港口集装箱吞吐量29587万标准箱，增长4.7%。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全年旅客运输总量56亿人次，比上年下降32.7%。旅客运输周转量12921亿人公里，下降34.6%。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民用汽车保有量31903万辆（包括三轮汽车和低速货车719万辆），比上年末增加1752万辆，其中私人汽车保有量27873万辆，增加1627万辆。民用轿车保有量17740万辆，增加1003万辆，其中私人轿车保有量16685万辆，增加954万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完成邮政行业业务总量14317亿元，比上年增长4.5%。邮政业全年完成邮政函件业务9.4亿件，包裹业务0.2亿件，快递业务量1105.8亿件，快递业务收入10567亿元。全年完成电信业务总量17498亿元，比上年增长21.3%。年末移动电话基站数1083万个，其中4G基站603万个，5G基站231万个。全国电话用户总数186286万户，其中移动电话用户168344万户。移动电话普及率为119.2部/百人。固定互联网宽带接入用户58965万户，比上年末增加5386万户，其中100M速率及以上的宽带接入用户55380万户，增加5513万户。蜂窝物联网终端用户18.45亿户，增加4.47亿户。互联网上网人数10.67亿人，其中手机上网人数10.65亿人。互联网普及率为75.6%，其中农村地区互联网普及率为61.9%。全年移动互联网用户接入流量2618亿GB，比上年增长18.1%。全年软件和信息技术服务业完成软件业务收入108126亿元，按可比口径计算，比上年增长11.2%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五、国内贸易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社会消费品零售总额439733亿元，比上年下降0.2%。按经营地统计，城镇消费品零售额380448亿元，下降0.3%；乡村消费品零售额59285亿元，与上年基本持平。按消费类型统计，商品零售额395792亿元，增长0.5%；餐饮收入额43941亿元，下降6.3%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限额以上单位商品零售额中，粮油、食品类零售额比上年增长8.7%，饮料类增长5.3%，烟酒类增长2.3%，服装、鞋帽、针纺织品类下降6.5%，化妆品类下降4.5%，金银珠宝类下降1.1%，日用品类下降0.7%，家用电器和音像器材类下降3.9%，中西药品类增长12.4%，文化办公用品类增长4.4%，家具类下降7.5%，通讯器材类下降3.4%，石油及制品类增长9.7%，汽车类增长0.7%，建筑及装潢材料类下降6.2%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全年实物商品网上零售额119642亿元，按可比口径计算，比上年增长6.2%，占社会消费品零售总额的比重为27.2%。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六、固定资产投资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社会固定资产投资579556亿元，比上年增长4.9%。固定资产投资（不含农户）572138亿元，增长5.1%。在固定资产投资（不含农户）中，分区域看，东部地区投资增长3.6%，中部地区投资增长8.9%，西部地区投资增长4.7%，东北地区投资增长1.2%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在固定资产投资（不含农户）中，第一产业投资14293亿元，比上年增长0.2%；第二产业投资184004亿元，增长10.3%；第三产业投资373842亿元，增长3.0%。民间固定资产投资310145亿元，增长0.9%。基础设施投资增长9.4%。社会领域投资增长10.9%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房地产开发投资132895亿元，比上年下降10.0%。其中住宅投资100646亿元，下降9.5%；办公楼投资5291亿元，下降11.4%；商业营业用房投资10647亿元，下降14.4%。年末商品房待售面积56366万平方米，比上年末增加5343万平方米，其中商品住宅待售面积26947万平方米，增加4186万平方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全年全国各类棚户区改造开工134万套，基本建成181万套；全国保障性租赁住房开工建设和筹集265万套（间）。全年全国新开工改造城镇老旧小区5.25万个，涉及居民876万户。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七、对外经济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货物进出口总额420678亿元，比上年增长7.7%。其中，出口239654亿元，增长10.5%；进口181024亿元，增长4.3%。货物进出口顺差58630亿元，比上年增加15330亿元。对“一带一路”沿线国家进出口总额138339亿元，比上年增长19.4%。其中，出口78877亿元，增长20.0%；进口59461亿元，增长18.7%。对《区域全面经济伙伴关系协定》（RCEP）其他成员国进出口额129499亿元，比上年增长7.5%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全年服务进出口总额59802亿元，比上年增长12.9%。其中，服务出口28522亿元，增长12.1%；服务进口31279亿元，增长13.5%。服务进出口逆差2757亿元。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外商直接投资新设立企业38497家，比上年下降19.2%。实际使用外商直接投资金额12327亿元，增长6.3%，折1891亿美元，增长8.0%。其中“一带一路”沿线国家对华直接投资（含通过部分自由港对华投资）新设立企业4519家，下降15.3%；对华直接投资金额891亿元，增长17.2%，折137亿美元，增长18.6%。全年高技术产业实际使用外资4449亿元，增长28.3%，折683亿美元，增长30.9%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全年对外非金融类直接投资额7859亿元，比上年增长7.2%，折1169亿美元，增长2.8%。其中，对“一带一路”沿线国家非金融类直接投资额1410亿元，增长7.7%，折210亿美元，增长3.3%。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对外承包工程完成营业额10425亿元，比上年增长4.3%，折1550亿美元，与上年基本持平。其中，对“一带一路”沿线国家完成营业额849亿美元，下降5.3%，占对外承包工程完成营业额比重为54.8%。对外劳务合作派出各类劳务人员26万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八、财政金融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国一般公共预算收入203703亿元，比上年增长0.6%；其中税收收入166614亿元，下降3.5%。全国一般公共预算支出260609亿元，比上年增长6.1%。全年新增减税降费及退税缓税缓费超4.2万亿元，其中累计退到纳税人账户的增值税留抵退税款2.46万亿元，新增减税降费超1万亿元，办理缓税缓费超7500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年末广义货币供应量（M2）余额266.4万亿元，比上年末增长11.8%；狭义货币供应量（M1）余额67.2万亿元，增长3.7%；流通中货币（M0）余额10.5万亿元，增长15.3%。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社会融资规模增量32.0万亿元，按可比口径计算，比上年多0.7万亿元。年末社会融资规模存量344.2万亿元，按可比口径计算，比上年末增长9.6%，其中对实体经济发放的人民币贷款余额212.4万亿元，增长10.9%。年末全部金融机构本外币各项存款余额264.4万亿元，比年初增加25.9万亿元，其中人民币各项存款余额258.5万亿元，增加26.3万亿元。全部金融机构本外币各项贷款余额219.1万亿元，增加20.6万亿元，其中人民币各项贷款余额214.0万亿元，增加21.3万亿元。人民币普惠金融贷款余额32.1万亿元，增加5.6万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主要农村金融机构（农村信用社、农村合作银行、农村商业银行）人民币贷款余额267195亿元，比年初增加24702亿元。全部金融机构人民币消费贷款余额560361亿元，增加11522亿元。其中，住户短期消费贷款余额93473亿元，减少90亿元；住户中长期消费贷款余额466888亿元，增加11613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沪深交易所A股累计筹资15109亿元，比上年减少1634亿元。沪深交易所首次公开发行上市A股341只，筹资5704亿元，比上年增加353亿元，其中科创板股票123只，筹资2520亿元；沪深交易所A股再融资（包括公开增发、定向增发、配股、优先股、可转债转股）9405亿元，减少1986亿元。北京证券交易所公开发行股票83只，筹资164亿元。全年各类主体通过沪深北交易所发行债券（包括公司债券、资产支持证券、国债、地方政府债券和政策性银行债券）筹资64494亿元，其中沪深交易所共发行上市基础设施领域不动产投资信托基金（REITs）13只，募集资金419亿元。全国中小企业股份转让系统挂牌公司6580家，全年挂牌公司累计股票筹资232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全年发行公司信用类债券13.7万亿元，比上年减少1.0万亿元。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保险公司原保险保费收入46957亿元，按可比口径计算，比上年增长4.6%。其中，寿险业务原保险保费收入24519亿元，健康险和意外伤害险业务原保险保费收入9726亿元，财产险业务原保险保费收入12712亿元。支付各类赔款及给付15485亿元。其中，寿险业务给付3791亿元，健康险和意外伤害险业务赔款及给付3937亿元，财产险业务赔款7757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九、居民收入消费和社会保障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国居民人均可支配收入36883元，比上年增长5.0%，扣除价格因素，实际增长2.9%。全国居民人均可支配收入中位数31370元，增长4.7%。按常住地分，城镇居民人均可支配收入49283元，比上年增长3.9%，扣除价格因素，实际增长1.9%。城镇居民人均可支配收入中位数45123元，增长3.7%。农村居民人均可支配收入20133元，比上年增长6.3%，扣除价格因素，实际增长4.2%。农村居民人均可支配收入中位数17734元，增长4.9%。城乡居民人均可支配收入比值为2.45，比上年缩小0.05。按全国居民五等份收入分组，低收入组人均可支配收入8601元，中间偏下收入组人均可支配收入19303元，中间收入组人均可支配收入30598元，中间偏上收入组人均可支配收入47397元，高收入组人均可支配收入90116元。全国农民工人均月收入4615元，比上年增长4.1%。全年脱贫县农村居民人均可支配收入15111元，比上年增长7.5%，扣除价格因素，实际增长5.4%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国居民人均消费支出24538元，比上年增长1.8%，扣除价格因素，实际下降0.2%。其中，人均服务性消费支出10590元，比上年下降0.5%，占居民人均消费支出的比重为43.2%。按常住地分，城镇居民人均消费支出30391元，增长0.3%，扣除价格因素，实际下降1.7%；农村居民人均消费支出16632元，增长4.5%，扣除价格因素，实际增长2.5%。全国居民恩格尔系数为30.5%，其中城镇为29.5%，农村为33.0%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参加城镇职工基本养老保险人数50349万人，比上年末增加2275万人。参加城乡居民基本养老保险人数54952万人，增加155万人。参加基本医疗保险人数134570万人，其中参加职工基本医疗保险人数36242万人，参加城乡居民基本医疗保险人数98328万人。参加失业保险人数23807万人，增加849万人。年末全国领取失业保险金人数297万人。参加工伤保险人数29111万人，增加825万人，其中参加工伤保险的农民工9127万人，增加41万人。参加生育保险人数24608万人，增加856万人。年末全国共有683万人享受城市最低生活保障，3349万人享受农村最低生活保障，435万人享受农村特困人员救助供养，全年临时救助1083万人次。全年领取国家定期抚恤金、定期生活补助金的退役军人和其他优抚对象827万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共有各类提供住宿的民政服务机构4.3万个，其中养老机构4.0万个，儿童福利和救助保护机构899个。民政服务床位849.1万张，其中养老服务床位822.3万张，儿童福利和救助保护机构床位10.0万张。年末共有社区服务中心2.9万个，社区服务站50.9万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十、科学技术和教育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研究与试验发展（R&amp;D）经费支出30870亿元，比上年增长10.4%，与国内生产总值之比为2.55%，其中基础研究经费1951亿元。国家自然科学基金共资助5.19万个项目。截至年末，正在运行的国家重点实验室533个，纳入新序列管理的国家工程研究中心191个，国家企业技术中心1601家，大众创业万众创新示范基地212家。国家科技成果转化引导基金累计设立36支子基金，资金总规模624亿元。国家级科技企业孵化器1425家，国家备案众创空间2441家。全年授予专利权432.3万件，比上年下降6.0%；PCT专利申请受理量7.4万件。截至年末，有效专利1787.9万件，其中境内有效发明专利328.0万件。每万人口高价值发明专利拥有量9.4件。全年商标注册617.7万件，比上年下降20.2%。全年共签订技术合同77万项，技术合同成交金额47791亿元，比上年增长28.2%。我国公民具备科学素质的比例达到12.93%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成功完成62次宇航发射。问天实验舱、梦天实验舱发射成功，神舟十四号、十五号等任务相继实施，中国空间站全面建成。嫦娥五号发现月球新矿物“嫦娥石”。句芒号陆地生态系统碳监测卫星、大气环境监测卫星成功发射运行。长征八号运载火箭实现一箭22星发射。第三艘航空母舰福建舰下水。国产C919大型客机获得型号合格证并交付首架。投入商业运行的华龙一号自主三代核电机组保持安全稳定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年末全国共有国家质检中心869家。全国现有产品质量、体系和服务认证机构1128个，累计完成对94万家企业的认证。全年制定、修订国家标准2266项，其中新制定1382项。全年制造业产品质量合格率为93.29%。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研究生教育招生124.2万人，在学研究生365.4万人，毕业生86.2万人。普通、职业本专科招生1014.5万人，在校生3659.4万人，毕业生967.3万人。中等职业教育招生650.7万人，在校生1784.7万人，毕业生519.2万人。普通高中招生947.5万人，在校生2713.9万人，毕业生824.1万人。初中招生1731.4万人，在校生5120.6万人，毕业生1623.9万人。普通小学招生1701.4万人，在校生10732.0万人，毕业生1740.6万人。特殊教育招生14.6万人，在校生91.9万人，毕业生15.9万人。学前教育在园幼儿4627.5万人。九年义务教育巩固率为95.5%，高中阶段毛入学率为91.6%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十一、文化旅游、卫生健康和体育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文化和旅游系统共有艺术表演团体2023个。全国共有公共图书馆3303个，总流通72375万人次；文化馆3503个。有线电视实际用户1.99亿户，其中有线数字电视实际用户1.90亿户。年末广播节目综合人口覆盖率为99.6%，电视节目综合人口覆盖率为99.8%。全年生产电视剧160部5283集，电视动画片89094分钟。全年生产故事影片380部，科教、纪录、动画和特种影片105部。出版各类报纸266亿份，各类期刊20亿册，图书114亿册（张），人均图书拥有量8.09册（张）。年末全国共有档案馆4136个，已开放各类档案20886万卷（件）。全年全国规模以上文化及相关产业企业营业收入121805亿元，按可比口径计算，比上年增长0.9%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国内游客25.3亿人次，比上年下降22.1%。其中，城镇居民游客19.3亿人次，下降17.7%；农村居民游客6.0亿人次，下降33.5%。国内旅游收入20444亿元，下降30.0%。其中，城镇居民游客花费16881亿元，下降28.6%；农村居民游客花费3563亿元，下降35.8%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共有医疗卫生机构103.3万个，其中医院3.7万个，在医院中有公立医院1.2万个，民营医院2.5万个；基层医疗卫生机构98.0万个，其中乡镇卫生院3.4万个，社区卫生服务中心（站）3.6万个，门诊部（所）32.1万个，村卫生室58.8万个；专业公共卫生机构1.3万个，其中疾病预防控制中心3385个，卫生监督所（中心）2796个。年末卫生技术人员1155万人，其中执业医师和执业助理医师440万人，注册护士520万人。医疗卫生机构床位975万张，其中医院766万张，乡镇卫生院145万张。全年总诊疗人次84.0亿人次，出院人数2.5亿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年末全国共有体育场地422.7万个，体育场地面积37.0亿平方米，人均体育场地面积2.62平方米。全年我国运动员在15个运动大项中获得93个世界冠军，共创11项世界纪录。在北京第24届冬奥会上，我国运动员共获得9枚金牌，奖牌总数15枚。全年我国残疾人运动员在5项国际赛事中获得41个世界冠军。在北京第13届冬残奥会上，我国运动员共获得18枚金牌，奖牌总数61枚，位列冬残奥会金牌榜和奖牌榜双第一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十二、资源、环境和应急管理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全年全国国有建设用地供应总量76.6万公顷，比上年增长10.9%。其中，工矿仓储用地19.8万公顷，增长13.2%；房地产用地11.0万公顷，下降19.4%；基础设施用地45.8万公顷，增长20.7%。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水资源总量26634亿立方米。全年总用水量5997亿立方米，比上年增长1.3%。其中，生活用水下降0.5%，工业用水下降7.7%，农业用水增长3.7%，人工生态环境补水增长8.3%。万元国内生产总值用水量53立方米，下降1.6%。万元工业增加值用水量27立方米，下降10.8%。人均用水量425立方米，增长1.3%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全年完成造林面积383万公顷，其中人工造林面积120万公顷，占全部造林面积的31.4%。种草改良面积321万公顷。截至年末，国家公园5个。新增水土流失治理面积6.3万平方公里。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初步核算，全年能源消费总量54.1亿吨标准煤，比上年增长2.9%。煤炭消费量增长4.3%，原油消费量下降3.1%，天然气消费量下降1.2%，电力消费量增长3.6%。煤炭消费量占能源消费总量的56.2%，比上年上升0.3个百分点；天然气、水电、核电、风电、太阳能发电等清洁能源消费量占能源消费总量的25.9%，上升0.4个百分点。重点耗能工业企业单位电石综合能耗下降1.6%，单位合成氨综合能耗下降0.8%，吨钢综合能耗上升1.7%，单位电解铝综合能耗下降0.4%，每千瓦时火力发电标准煤耗下降0.2%。全国万元国内生产总值二氧化碳排放下降0.8%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全年近岸海域海水水质达到国家一、二类海水水质标准的面积占81.9%，三类海水占4.1%，四类、劣四类海水占14.0%。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在开展城市区域声环境监测的320个城市中，全年昼间声环境质量好的城市占5.0%，较好的占66.3%，一般的占27.2%，较差的占1.2%，差的占0.3%。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全年平均气温为10.51℃，比上年下降0.02℃。共有4个台风登陆。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农作物受灾面积1207万公顷，其中绝收135万公顷。全年因洪涝和地质灾害造成直接经济损失1303亿元，因干旱灾害造成直接经济损失513亿元，因低温冷冻和雪灾造成直接经济损失125亿元，因海洋灾害造成直接经济损失24亿元。全年大陆地区共发生5.0级以上地震27次，造成直接经济损失224亿元。全年共发生森林火灾709起，受害森林面积约0.5万公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  <w:t>全年各类生产安全事故共死亡20963人。工矿商贸企业就业人员10万人生产安全事故死亡人数1.097人，比上年下降20.2%；煤矿百万吨死亡人数0.054人，上升22.7%。道路交通事故万车死亡人数1.46人，下降7.0%。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5NjlhZDNkZWVhMzcxNTc0YzU3OTFlYTEyMjAifQ=="/>
  </w:docVars>
  <w:rsids>
    <w:rsidRoot w:val="00000000"/>
    <w:rsid w:val="004C6249"/>
    <w:rsid w:val="00B56B36"/>
    <w:rsid w:val="092E2FE0"/>
    <w:rsid w:val="0A011AD7"/>
    <w:rsid w:val="11050ACA"/>
    <w:rsid w:val="130D1BB6"/>
    <w:rsid w:val="18DA68F2"/>
    <w:rsid w:val="1C816A57"/>
    <w:rsid w:val="1EF22A39"/>
    <w:rsid w:val="23FC77C6"/>
    <w:rsid w:val="248633FB"/>
    <w:rsid w:val="36766609"/>
    <w:rsid w:val="3699568D"/>
    <w:rsid w:val="374A6695"/>
    <w:rsid w:val="393C041F"/>
    <w:rsid w:val="39CD715D"/>
    <w:rsid w:val="3AC70B10"/>
    <w:rsid w:val="44F6739F"/>
    <w:rsid w:val="518C5431"/>
    <w:rsid w:val="59FF5D6D"/>
    <w:rsid w:val="6BE37E48"/>
    <w:rsid w:val="6C105A58"/>
    <w:rsid w:val="6D3A4588"/>
    <w:rsid w:val="753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标题一"/>
    <w:qFormat/>
    <w:uiPriority w:val="0"/>
    <w:pPr>
      <w:spacing w:line="360" w:lineRule="auto"/>
      <w:ind w:firstLine="1044" w:firstLineChars="200"/>
      <w:outlineLvl w:val="0"/>
    </w:pPr>
    <w:rPr>
      <w:rFonts w:hint="default" w:ascii="Times New Roman" w:hAnsi="Times New Roman" w:eastAsia="黑体" w:cstheme="minorBidi"/>
      <w:b/>
      <w:bCs/>
      <w:sz w:val="32"/>
      <w:szCs w:val="52"/>
    </w:rPr>
  </w:style>
  <w:style w:type="paragraph" w:customStyle="1" w:styleId="8">
    <w:name w:val="正文内容"/>
    <w:basedOn w:val="1"/>
    <w:qFormat/>
    <w:uiPriority w:val="0"/>
    <w:pPr>
      <w:ind w:firstLine="1044"/>
      <w:jc w:val="both"/>
      <w:outlineLvl w:val="9"/>
    </w:pPr>
    <w:rPr>
      <w:rFonts w:hint="default" w:ascii="Times New Roman" w:hAnsi="Times New Roman" w:eastAsia="仿宋"/>
      <w:b/>
      <w:bCs/>
      <w:sz w:val="32"/>
      <w:szCs w:val="52"/>
    </w:rPr>
  </w:style>
  <w:style w:type="paragraph" w:customStyle="1" w:styleId="9">
    <w:name w:val="目录俩字"/>
    <w:basedOn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eastAsia" w:ascii="黑体" w:hAnsi="黑体" w:eastAsia="黑体"/>
      <w:b/>
      <w:bCs/>
      <w:sz w:val="36"/>
      <w:szCs w:val="52"/>
    </w:rPr>
  </w:style>
  <w:style w:type="paragraph" w:customStyle="1" w:styleId="10">
    <w:name w:val="目录内容"/>
    <w:basedOn w:val="1"/>
    <w:qFormat/>
    <w:uiPriority w:val="0"/>
    <w:pPr>
      <w:ind w:firstLine="0" w:firstLineChars="0"/>
      <w:jc w:val="left"/>
      <w:outlineLvl w:val="0"/>
    </w:pPr>
    <w:rPr>
      <w:rFonts w:hint="default" w:ascii="Times New Roman" w:hAnsi="Times New Roman" w:eastAsia="黑体"/>
      <w:bCs/>
      <w:sz w:val="32"/>
      <w:szCs w:val="52"/>
    </w:rPr>
  </w:style>
  <w:style w:type="paragraph" w:customStyle="1" w:styleId="11">
    <w:name w:val="图名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2">
    <w:name w:val="表格名字"/>
    <w:basedOn w:val="1"/>
    <w:qFormat/>
    <w:uiPriority w:val="0"/>
    <w:pPr>
      <w:spacing w:before="100" w:beforeLines="100" w:after="50" w:afterLines="5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3">
    <w:name w:val="表格内容"/>
    <w:basedOn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default" w:ascii="Times New Roman" w:hAnsi="Times New Roman" w:eastAsia="仿宋"/>
      <w:bCs/>
      <w:sz w:val="30"/>
      <w:szCs w:val="52"/>
    </w:rPr>
  </w:style>
  <w:style w:type="paragraph" w:customStyle="1" w:styleId="14">
    <w:name w:val="标题A"/>
    <w:basedOn w:val="1"/>
    <w:next w:val="1"/>
    <w:qFormat/>
    <w:uiPriority w:val="0"/>
    <w:pPr>
      <w:keepNext/>
      <w:keepLines/>
      <w:ind w:firstLine="720" w:firstLineChars="200"/>
      <w:jc w:val="left"/>
      <w:outlineLvl w:val="0"/>
    </w:pPr>
    <w:rPr>
      <w:rFonts w:hint="default" w:ascii="Times New Roman" w:hAnsi="Times New Roman" w:eastAsia="黑体" w:cs="黑体"/>
      <w:b/>
      <w:kern w:val="44"/>
      <w:sz w:val="32"/>
      <w:szCs w:val="36"/>
    </w:rPr>
  </w:style>
  <w:style w:type="paragraph" w:customStyle="1" w:styleId="15">
    <w:name w:val="正文A"/>
    <w:basedOn w:val="1"/>
    <w:qFormat/>
    <w:uiPriority w:val="0"/>
    <w:pPr>
      <w:keepNext/>
      <w:keepLines/>
      <w:ind w:firstLine="720"/>
      <w:jc w:val="both"/>
      <w:outlineLvl w:val="9"/>
    </w:pPr>
    <w:rPr>
      <w:rFonts w:hint="default" w:ascii="Times New Roman" w:hAnsi="Times New Roman" w:eastAsia="仿宋" w:cs="黑体"/>
      <w:kern w:val="44"/>
      <w:sz w:val="32"/>
      <w:szCs w:val="36"/>
    </w:rPr>
  </w:style>
  <w:style w:type="paragraph" w:customStyle="1" w:styleId="16">
    <w:name w:val="表名A"/>
    <w:basedOn w:val="1"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center"/>
    </w:pPr>
    <w:rPr>
      <w:rFonts w:ascii="Times New Roman" w:hAnsi="Times New Roman" w:eastAsia="仿宋" w:cs="黑体"/>
      <w:b/>
      <w:kern w:val="44"/>
      <w:sz w:val="30"/>
      <w:szCs w:val="36"/>
    </w:rPr>
  </w:style>
  <w:style w:type="paragraph" w:customStyle="1" w:styleId="17">
    <w:name w:val="表格A"/>
    <w:basedOn w:val="1"/>
    <w:qFormat/>
    <w:uiPriority w:val="0"/>
    <w:pPr>
      <w:keepNext/>
      <w:keepLines/>
      <w:spacing w:line="240" w:lineRule="auto"/>
      <w:ind w:firstLine="0" w:firstLineChars="0"/>
      <w:jc w:val="center"/>
    </w:pPr>
    <w:rPr>
      <w:rFonts w:ascii="Times New Roman" w:hAnsi="Times New Roman" w:eastAsia="仿宋" w:cs="黑体"/>
      <w:kern w:val="44"/>
      <w:sz w:val="30"/>
      <w:szCs w:val="36"/>
    </w:rPr>
  </w:style>
  <w:style w:type="paragraph" w:customStyle="1" w:styleId="18">
    <w:name w:val="图名A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</w:pPr>
    <w:rPr>
      <w:rFonts w:hint="default" w:ascii="Times New Roman" w:hAnsi="Times New Roman" w:eastAsia="仿宋" w:cs="黑体"/>
      <w:b/>
      <w:sz w:val="30"/>
      <w:szCs w:val="18"/>
    </w:rPr>
  </w:style>
  <w:style w:type="character" w:customStyle="1" w:styleId="19">
    <w:name w:val="标题 1 Char"/>
    <w:basedOn w:val="5"/>
    <w:link w:val="2"/>
    <w:qFormat/>
    <w:uiPriority w:val="0"/>
    <w:rPr>
      <w:rFonts w:ascii="Times New Roman" w:hAnsi="Times New Roman" w:eastAsia="黑体" w:cs="Times New Roman"/>
      <w:b/>
      <w:bCs/>
      <w:snapToGrid w:val="0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9497</Words>
  <Characters>12025</Characters>
  <Lines>0</Lines>
  <Paragraphs>0</Paragraphs>
  <TotalTime>1</TotalTime>
  <ScaleCrop>false</ScaleCrop>
  <LinksUpToDate>false</LinksUpToDate>
  <CharactersWithSpaces>12025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2023-02-07T05:35:00Z</dcterms:created>
  <dc:creator>Administrator</dc:creator>
  <cp:lastModifiedBy>粉色苏打</cp:lastModifiedBy>
  <dcterms:modified xsi:type="dcterms:W3CDTF">2023-03-02T03:03:12Z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2869F2915CF44F75A488F03DB1A9D0D6</vt:lpwstr>
  </property>
</Properties>
</file>