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center"/>
        <w:rPr>
          <w:rFonts w:hint="eastAsia" w:ascii="黑体" w:hAnsi="黑体" w:eastAsia="黑体" w:cs="黑体"/>
          <w:sz w:val="36"/>
          <w:szCs w:val="36"/>
        </w:rPr>
      </w:pPr>
      <w:r>
        <w:rPr>
          <w:rFonts w:hint="eastAsia" w:ascii="黑体" w:hAnsi="黑体" w:eastAsia="黑体" w:cs="黑体"/>
          <w:b/>
          <w:bCs/>
          <w:i w:val="0"/>
          <w:iCs w:val="0"/>
          <w:caps w:val="0"/>
          <w:color w:val="000000"/>
          <w:spacing w:val="0"/>
          <w:sz w:val="36"/>
          <w:szCs w:val="36"/>
          <w:bdr w:val="none" w:color="auto" w:sz="0" w:space="0"/>
          <w:shd w:val="clear" w:fill="FFFFFF"/>
        </w:rPr>
        <w:t>住房和城乡建设部关于发布《印制电路板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center"/>
        <w:rPr>
          <w:rFonts w:hint="eastAsia" w:ascii="黑体" w:hAnsi="黑体" w:eastAsia="黑体" w:cs="黑体"/>
          <w:sz w:val="36"/>
          <w:szCs w:val="36"/>
        </w:rPr>
      </w:pPr>
      <w:r>
        <w:rPr>
          <w:rFonts w:hint="eastAsia" w:ascii="黑体" w:hAnsi="黑体" w:eastAsia="黑体" w:cs="黑体"/>
          <w:b/>
          <w:bCs/>
          <w:i w:val="0"/>
          <w:iCs w:val="0"/>
          <w:caps w:val="0"/>
          <w:color w:val="000000"/>
          <w:spacing w:val="0"/>
          <w:sz w:val="36"/>
          <w:szCs w:val="36"/>
          <w:bdr w:val="none" w:color="auto" w:sz="0" w:space="0"/>
          <w:shd w:val="clear" w:fill="FFFFFF"/>
        </w:rPr>
        <w:t>工厂设计规范》等5项工程建设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center"/>
        <w:rPr>
          <w:rFonts w:hint="eastAsia" w:ascii="黑体" w:hAnsi="黑体" w:eastAsia="黑体" w:cs="黑体"/>
          <w:b/>
          <w:bCs/>
          <w:i w:val="0"/>
          <w:iCs w:val="0"/>
          <w:caps w:val="0"/>
          <w:color w:val="000000"/>
          <w:spacing w:val="0"/>
          <w:sz w:val="36"/>
          <w:szCs w:val="36"/>
          <w:bdr w:val="none" w:color="auto" w:sz="0" w:space="0"/>
          <w:shd w:val="clear" w:fill="FFFFFF"/>
        </w:rPr>
      </w:pPr>
      <w:r>
        <w:rPr>
          <w:rFonts w:hint="eastAsia" w:ascii="黑体" w:hAnsi="黑体" w:eastAsia="黑体" w:cs="黑体"/>
          <w:b/>
          <w:bCs/>
          <w:i w:val="0"/>
          <w:iCs w:val="0"/>
          <w:caps w:val="0"/>
          <w:color w:val="000000"/>
          <w:spacing w:val="0"/>
          <w:sz w:val="36"/>
          <w:szCs w:val="36"/>
          <w:bdr w:val="none" w:color="auto" w:sz="0" w:space="0"/>
          <w:shd w:val="clear" w:fill="FFFFFF"/>
        </w:rPr>
        <w:t>标准英文版的公告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firstLine="0" w:firstLineChars="0"/>
        <w:jc w:val="center"/>
        <w:rPr>
          <w:rFonts w:hint="eastAsia" w:ascii="黑体" w:hAnsi="黑体" w:eastAsia="黑体" w:cs="黑体"/>
          <w:b/>
          <w:bCs/>
          <w:i w:val="0"/>
          <w:iCs w:val="0"/>
          <w:caps w:val="0"/>
          <w:color w:val="000000"/>
          <w:spacing w:val="0"/>
          <w:sz w:val="36"/>
          <w:szCs w:val="36"/>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both"/>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bdr w:val="none" w:color="auto" w:sz="0" w:space="0"/>
          <w:shd w:val="clear" w:fill="FFFFFF"/>
        </w:rPr>
        <w:t>现批准《印制电路板工厂设计规范》（GB51127-2015）、《煤炭工业矿井设计规范》（GB50215-2015）、《煤矿立井井筒及硐室设计规范》（GB50384-2016）、《煤炭工业露天矿设计规范》（GB50197-2015）、《塔式太阳能光热发电站设计标准》（GB/T51307-2018）等5项工程建设标准英文版。工程建设标准英文版与中文版出现异议时，以中文版为准。 </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both"/>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bdr w:val="none" w:color="auto" w:sz="0" w:space="0"/>
          <w:shd w:val="clear" w:fill="FFFFFF"/>
        </w:rPr>
        <w:t>　　该5项工程建设标准英文版由住房和城乡建设部组织中国计划出版社有限公司出版发行。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default" w:ascii="Times New Roman" w:hAnsi="Times New Roman" w:eastAsia="宋体" w:cs="Times New Roman"/>
          <w:i w:val="0"/>
          <w:iCs w:val="0"/>
          <w:caps w:val="0"/>
          <w:color w:val="000000"/>
          <w:spacing w:val="0"/>
          <w:sz w:val="24"/>
          <w:szCs w:val="24"/>
          <w:bdr w:val="none" w:color="auto" w:sz="0" w:space="0"/>
          <w:shd w:val="clear" w:fill="FFFFFF"/>
        </w:rPr>
      </w:pPr>
      <w:r>
        <w:rPr>
          <w:rFonts w:hint="default" w:ascii="Times New Roman" w:hAnsi="Times New Roman" w:eastAsia="宋体"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000000"/>
          <w:spacing w:val="0"/>
          <w:sz w:val="24"/>
          <w:szCs w:val="24"/>
          <w:bdr w:val="none" w:color="auto" w:sz="0" w:space="0"/>
          <w:shd w:val="clear" w:fill="FFFFFF"/>
        </w:rPr>
        <w:t>　　　　　　　　　　　　　　　　　　　　　　　　　　　　　　　　　　　　　　　　　　　　　　　住房和城乡建设部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default" w:ascii="Times New Roman" w:hAnsi="Times New Roman" w:eastAsia="宋体" w:cs="Times New Roman"/>
          <w:i w:val="0"/>
          <w:iCs w:val="0"/>
          <w:caps w:val="0"/>
          <w:color w:val="000000"/>
          <w:spacing w:val="0"/>
          <w:sz w:val="24"/>
          <w:szCs w:val="24"/>
          <w:bdr w:val="none" w:color="auto" w:sz="0" w:space="0"/>
          <w:shd w:val="clear" w:fill="FFFFFF"/>
        </w:rPr>
      </w:pPr>
      <w:r>
        <w:rPr>
          <w:rFonts w:hint="default" w:ascii="Times New Roman" w:hAnsi="Times New Roman" w:eastAsia="宋体"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宋体" w:cs="Times New Roman"/>
          <w:i w:val="0"/>
          <w:iCs w:val="0"/>
          <w:caps w:val="0"/>
          <w:color w:val="000000"/>
          <w:spacing w:val="0"/>
          <w:sz w:val="24"/>
          <w:szCs w:val="24"/>
          <w:bdr w:val="none" w:color="auto" w:sz="0" w:space="0"/>
          <w:shd w:val="clear" w:fill="FFFFFF"/>
        </w:rPr>
        <w:t>　　　　  2022年3月28日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eastAsia" w:ascii="微软雅黑" w:hAnsi="微软雅黑" w:eastAsia="微软雅黑" w:cs="微软雅黑"/>
          <w:i w:val="0"/>
          <w:iCs w:val="0"/>
          <w:caps w:val="0"/>
          <w:color w:val="000000"/>
          <w:spacing w:val="0"/>
          <w:sz w:val="19"/>
          <w:szCs w:val="19"/>
          <w:bdr w:val="none" w:color="auto" w:sz="0" w:space="0"/>
          <w:shd w:val="clear" w:fill="FFFFFF"/>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hanging="360"/>
        <w:rPr>
          <w:rFonts w:hint="eastAsia" w:ascii="微软雅黑" w:hAnsi="微软雅黑" w:eastAsia="微软雅黑" w:cs="微软雅黑"/>
          <w:color w:val="00000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附件1：</w:t>
      </w:r>
      <w:r>
        <w:rPr>
          <w:rFonts w:hint="eastAsia" w:ascii="微软雅黑" w:hAnsi="微软雅黑" w:eastAsia="微软雅黑" w:cs="微软雅黑"/>
          <w:i w:val="0"/>
          <w:iCs w:val="0"/>
          <w:caps w:val="0"/>
          <w:color w:val="006AD2"/>
          <w:spacing w:val="0"/>
          <w:sz w:val="16"/>
          <w:szCs w:val="16"/>
          <w:u w:val="single"/>
          <w:bdr w:val="none" w:color="auto" w:sz="0" w:space="0"/>
          <w:shd w:val="clear" w:fill="FFFFFF"/>
        </w:rPr>
        <w:fldChar w:fldCharType="begin"/>
      </w:r>
      <w:r>
        <w:rPr>
          <w:rFonts w:hint="eastAsia" w:ascii="微软雅黑" w:hAnsi="微软雅黑" w:eastAsia="微软雅黑" w:cs="微软雅黑"/>
          <w:i w:val="0"/>
          <w:iCs w:val="0"/>
          <w:caps w:val="0"/>
          <w:color w:val="006AD2"/>
          <w:spacing w:val="0"/>
          <w:sz w:val="16"/>
          <w:szCs w:val="16"/>
          <w:u w:val="single"/>
          <w:bdr w:val="none" w:color="auto" w:sz="0" w:space="0"/>
          <w:shd w:val="clear" w:fill="FFFFFF"/>
        </w:rPr>
        <w:instrText xml:space="preserve"> HYPERLINK "https://www.mohurd.gov.cn/file/2022/20220701/6eefea8d-607e-45ad-a72e-b36127706c30.pdf?n=%E3%80%8A%E5%8D%B0%E5%88%B6%E7%94%B5%E8%B7%AF%E6%9D%BF%E5%B7%A5%E5%8E%82%E8%AE%BE%E8%AE%A1%E8%A7%84%E8%8C%83%E3%80%8B%EF%BC%88GB51127-2015%EF%BC%89%EF%BC%88%E8%8B%B1%E6%96%87%E7%89%88%EF%BC%89" \o "《印制电路板工厂设计规范》（GB51127-2015）（英文版）" \t "https://www.mohurd.gov.cn/gongkai/fdzdgknr/zfhcxjsbwj/202207/_blank" </w:instrText>
      </w:r>
      <w:r>
        <w:rPr>
          <w:rFonts w:hint="eastAsia" w:ascii="微软雅黑" w:hAnsi="微软雅黑" w:eastAsia="微软雅黑" w:cs="微软雅黑"/>
          <w:i w:val="0"/>
          <w:iCs w:val="0"/>
          <w:caps w:val="0"/>
          <w:color w:val="006AD2"/>
          <w:spacing w:val="0"/>
          <w:sz w:val="16"/>
          <w:szCs w:val="16"/>
          <w:u w:val="single"/>
          <w:bdr w:val="none" w:color="auto" w:sz="0" w:space="0"/>
          <w:shd w:val="clear" w:fill="FFFFFF"/>
        </w:rPr>
        <w:fldChar w:fldCharType="separate"/>
      </w:r>
      <w:r>
        <w:rPr>
          <w:rStyle w:val="9"/>
          <w:rFonts w:hint="eastAsia" w:ascii="微软雅黑" w:hAnsi="微软雅黑" w:eastAsia="微软雅黑" w:cs="微软雅黑"/>
          <w:i w:val="0"/>
          <w:iCs w:val="0"/>
          <w:caps w:val="0"/>
          <w:color w:val="006AD2"/>
          <w:spacing w:val="0"/>
          <w:sz w:val="16"/>
          <w:szCs w:val="16"/>
          <w:u w:val="single"/>
          <w:bdr w:val="none" w:color="auto" w:sz="0" w:space="0"/>
          <w:shd w:val="clear" w:fill="FFFFFF"/>
        </w:rPr>
        <w:t>《印制电路板工厂设计规范》（GB51127-2015）（英文版）</w:t>
      </w:r>
      <w:r>
        <w:rPr>
          <w:rFonts w:hint="eastAsia" w:ascii="微软雅黑" w:hAnsi="微软雅黑" w:eastAsia="微软雅黑" w:cs="微软雅黑"/>
          <w:i w:val="0"/>
          <w:iCs w:val="0"/>
          <w:caps w:val="0"/>
          <w:color w:val="006AD2"/>
          <w:spacing w:val="0"/>
          <w:sz w:val="16"/>
          <w:szCs w:val="16"/>
          <w:u w:val="singl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8" w:beforeAutospacing="0" w:after="0" w:afterAutospacing="0" w:line="228" w:lineRule="atLeast"/>
        <w:ind w:left="0" w:right="0" w:hanging="360"/>
        <w:rPr>
          <w:rFonts w:hint="eastAsia" w:ascii="微软雅黑" w:hAnsi="微软雅黑" w:eastAsia="微软雅黑" w:cs="微软雅黑"/>
          <w:color w:val="00000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附件2：</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instrText xml:space="preserve"> HYPERLINK "https://www.mohurd.gov.cn/file/2022/20220701/58d0f1fe-d394-441e-9c18-af7958cb0c3c.pdf?n=%E3%80%8A%E7%85%A4%E7%82%AD%E5%B7%A5%E4%B8%9A%E7%9F%BF%E4%BA%95%E8%AE%BE%E8%AE%A1%E8%A7%84%E8%8C%83%E3%80%8B%EF%BC%88GB50215-2015%EF%BC%89%EF%BC%88%E8%8B%B1%E6%96%87%E7%89%88%EF%BC%89" \o "《煤炭工业矿井设计规范》（GB50215-2015）（英文版）" \t "https://www.mohurd.gov.cn/gongkai/fdzdgknr/zfhcxjsbwj/202207/_blank" </w:instrTex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6AD2"/>
          <w:spacing w:val="0"/>
          <w:sz w:val="16"/>
          <w:szCs w:val="16"/>
          <w:u w:val="none"/>
          <w:bdr w:val="none" w:color="auto" w:sz="0" w:space="0"/>
          <w:shd w:val="clear" w:fill="FFFFFF"/>
        </w:rPr>
        <w:t>《煤炭工业矿井设计规范》（GB50215-2015）（英文版）</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8" w:beforeAutospacing="0" w:after="0" w:afterAutospacing="0" w:line="228" w:lineRule="atLeast"/>
        <w:ind w:left="0" w:right="0" w:hanging="360"/>
        <w:rPr>
          <w:rFonts w:hint="eastAsia" w:ascii="微软雅黑" w:hAnsi="微软雅黑" w:eastAsia="微软雅黑" w:cs="微软雅黑"/>
          <w:color w:val="00000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附件3：</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instrText xml:space="preserve"> HYPERLINK "https://www.mohurd.gov.cn/file/2022/20220701/1b87f099-1a43-45ee-889f-28ea47057213.pdf?n=%E3%80%8A%E7%85%A4%E7%9F%BF%E7%AB%8B%E4%BA%95%E4%BA%95%E7%AD%92%E5%8F%8A%E7%A1%90%E5%AE%A4%E8%AE%BE%E8%AE%A1%E8%A7%84%E8%8C%83 %E3%80%8B%EF%BC%88GB50384-2016%EF%BC%89%EF%BC%88%E8%8B%B1%E6%96%87%E7%89%88%EF%BC%89" \o "《煤矿立井井筒及硐室设计规范 》（GB50384-2016）（英文版）" \t "https://www.mohurd.gov.cn/gongkai/fdzdgknr/zfhcxjsbwj/202207/_blank" </w:instrTex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6AD2"/>
          <w:spacing w:val="0"/>
          <w:sz w:val="16"/>
          <w:szCs w:val="16"/>
          <w:u w:val="none"/>
          <w:bdr w:val="none" w:color="auto" w:sz="0" w:space="0"/>
          <w:shd w:val="clear" w:fill="FFFFFF"/>
        </w:rPr>
        <w:t>《煤矿立井井筒及硐室设计规范 》（GB50384-2016）（英文版）</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8" w:beforeAutospacing="0" w:after="0" w:afterAutospacing="0" w:line="228" w:lineRule="atLeast"/>
        <w:ind w:left="0" w:right="0" w:hanging="360"/>
        <w:rPr>
          <w:rFonts w:hint="eastAsia" w:ascii="微软雅黑" w:hAnsi="微软雅黑" w:eastAsia="微软雅黑" w:cs="微软雅黑"/>
          <w:color w:val="00000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附件4：</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instrText xml:space="preserve"> HYPERLINK "https://www.mohurd.gov.cn/file/2022/20220701/b4bc57c7-8a52-443c-be05-b35dc8d9674d.pdf?n=%E3%80%8A%E7%85%A4%E7%82%AD%E5%B7%A5%E4%B8%9A%E9%9C%B2%E5%A4%A9%E7%9F%BF%E8%AE%BE%E8%AE%A1%E8%A7%84%E8%8C%83%E3%80%8B%EF%BC%88GB50197-2015%EF%BC%89%EF%BC%88%E8%8B%B1%E6%96%87%E7%89%88%EF%BC%89" \o "《煤炭工业露天矿设计规范》（GB50197-2015）（英文版）" \t "https://www.mohurd.gov.cn/gongkai/fdzdgknr/zfhcxjsbwj/202207/_blank" </w:instrTex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6AD2"/>
          <w:spacing w:val="0"/>
          <w:sz w:val="16"/>
          <w:szCs w:val="16"/>
          <w:u w:val="none"/>
          <w:bdr w:val="none" w:color="auto" w:sz="0" w:space="0"/>
          <w:shd w:val="clear" w:fill="FFFFFF"/>
        </w:rPr>
        <w:t>《煤炭工业露天矿设计规范》（GB50197-2015）（英文版）</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68" w:beforeAutospacing="0" w:after="0" w:afterAutospacing="0" w:line="228" w:lineRule="atLeast"/>
        <w:ind w:left="0" w:right="0" w:hanging="360"/>
        <w:rPr>
          <w:rFonts w:hint="eastAsia" w:ascii="微软雅黑" w:hAnsi="微软雅黑" w:eastAsia="微软雅黑" w:cs="微软雅黑"/>
          <w:color w:val="00000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附件5：</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begin"/>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instrText xml:space="preserve"> HYPERLINK "https://www.mohurd.gov.cn/file/2022/20220701/899708c6-7d96-4aa8-9827-df270662a5b6.pdf?n=%E3%80%8A%E5%A1%94%E5%BC%8F%E5%A4%AA%E9%98%B3%E8%83%BD%E5%85%89%E7%83%AD%E5%8F%91%E7%94%B5%E7%AB%99%E8%AE%BE%E8%AE%A1%E6%A0%87%E5%87%86%E3%80%8B%EF%BC%88GB/T51307-2018%EF%BC%89%EF%BC%88%E8%8B%B1%E6%96%87%E7%89%88%EF%BC%89" \o "《塔式太阳能光热发电站设计标准》（GB/T51307-2018）（英文版）" \t "https://www.mohurd.gov.cn/gongkai/fdzdgknr/zfhcxjsbwj/202207/_blank" </w:instrTex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6AD2"/>
          <w:spacing w:val="0"/>
          <w:sz w:val="16"/>
          <w:szCs w:val="16"/>
          <w:u w:val="none"/>
          <w:bdr w:val="none" w:color="auto" w:sz="0" w:space="0"/>
          <w:shd w:val="clear" w:fill="FFFFFF"/>
        </w:rPr>
        <w:t>《塔式太阳能光热发电站设计标准》（GB/T51307-2018）（英文版）</w:t>
      </w:r>
      <w:r>
        <w:rPr>
          <w:rFonts w:hint="eastAsia" w:ascii="微软雅黑" w:hAnsi="微软雅黑" w:eastAsia="微软雅黑" w:cs="微软雅黑"/>
          <w:i w:val="0"/>
          <w:iCs w:val="0"/>
          <w:caps w:val="0"/>
          <w:color w:val="006AD2"/>
          <w:spacing w:val="0"/>
          <w:sz w:val="16"/>
          <w:szCs w:val="16"/>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F556A"/>
    <w:multiLevelType w:val="multilevel"/>
    <w:tmpl w:val="607F55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274C1716"/>
    <w:rsid w:val="29E6465C"/>
    <w:rsid w:val="2D7709CD"/>
    <w:rsid w:val="351564CE"/>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40</Characters>
  <Lines>0</Lines>
  <Paragraphs>0</Paragraphs>
  <TotalTime>2</TotalTime>
  <ScaleCrop>false</ScaleCrop>
  <LinksUpToDate>false</LinksUpToDate>
  <CharactersWithSpaces>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2022-07-06T06:32:20Z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EA6AE74F45C94F05AF6C07D8EE8EFAB9</vt:lpwstr>
  </property>
</Properties>
</file>