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0166B5" w:sz="12" w:space="6"/>
          <w:right w:val="none" w:color="auto" w:sz="0" w:space="0"/>
        </w:pBdr>
        <w:spacing w:before="120" w:beforeAutospacing="0" w:after="0" w:afterAutospacing="0"/>
        <w:ind w:left="0" w:leftChars="0" w:right="0" w:firstLine="0" w:firstLineChars="0"/>
        <w:jc w:val="center"/>
        <w:rPr>
          <w:rFonts w:hint="default" w:ascii="Times New Roman" w:hAnsi="Times New Roman" w:eastAsia="黑体" w:cs="Times New Roman"/>
          <w:b/>
          <w:bCs/>
          <w:color w:val="000000"/>
          <w:kern w:val="0"/>
          <w:sz w:val="36"/>
          <w:szCs w:val="36"/>
          <w:bdr w:val="none" w:color="auto" w:sz="0" w:space="0"/>
          <w:lang w:val="en-US" w:eastAsia="zh-CN" w:bidi="ar"/>
        </w:rPr>
      </w:pPr>
      <w:r>
        <w:rPr>
          <w:rFonts w:hint="default" w:ascii="Times New Roman" w:hAnsi="Times New Roman" w:eastAsia="黑体" w:cs="Times New Roman"/>
          <w:b/>
          <w:bCs/>
          <w:color w:val="000000"/>
          <w:kern w:val="0"/>
          <w:sz w:val="36"/>
          <w:szCs w:val="36"/>
          <w:bdr w:val="none" w:color="auto" w:sz="0" w:space="0"/>
          <w:lang w:val="en-US" w:eastAsia="zh-CN" w:bidi="ar"/>
        </w:rPr>
        <w:t>中共中央办公厅 国务院办公厅印发《关于推进以县城为重要载体的城镇化建设的意见》</w:t>
      </w:r>
    </w:p>
    <w:p>
      <w:pPr>
        <w:pStyle w:val="2"/>
        <w:rPr>
          <w:rFonts w:hint="default" w:ascii="Times New Roman" w:hAnsi="Times New Roman" w:cs="Times New Roma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新华社北京5月6日电 近日，中共中央办公厅、国务院办公厅印发了《关于推进以县城为重要载体的城镇化建设的意见》，并发出通知，要求各地区各部门结合实际认真贯彻落实。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《关于推进以县城为重要载体的城镇化建设的意见》全文如下。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县城是我国城镇体系的重要组成部分，是城乡融合发展的关键支撑，对促进新型城镇化建设、构建新型工农城乡关系具有重要意义。为推进以县城为重要载体的城镇化建设，现提出如下意见。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1"/>
        <w:jc w:val="left"/>
        <w:rPr>
          <w:rFonts w:hint="default" w:ascii="Times New Roman" w:hAnsi="Times New Roman" w:eastAsia="宋体" w:cs="Times New Roman"/>
          <w:sz w:val="28"/>
          <w:szCs w:val="28"/>
        </w:rPr>
      </w:pPr>
      <w:r>
        <w:rPr>
          <w:rFonts w:hint="default" w:ascii="Times New Roman" w:hAnsi="Times New Roman" w:eastAsia="宋体" w:cs="Times New Roman"/>
          <w:b/>
          <w:bCs/>
          <w:color w:val="000000"/>
          <w:kern w:val="0"/>
          <w:sz w:val="28"/>
          <w:szCs w:val="28"/>
          <w:bdr w:val="none" w:color="auto" w:sz="0" w:space="0"/>
          <w:lang w:val="en-US" w:eastAsia="zh-CN" w:bidi="ar"/>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一）指导思想。以习近平新时代中国特色社会主义思想为指导，坚持以人为核心推进新型城镇化，尊重县城发展规律，统筹县城生产、生活、生态、安全需要，因地制宜补齐县城短板弱项，促进县城产业配套设施提质增效、市政公用设施提档升级、公共服务设施提标扩面、环境基础设施提级扩能，增强县城综合承载能力，提升县城发展质量，更好满足农民到县城就业安家需求和县城居民生产生活需要，为实施扩大内需战略、协同推进新型城镇化和乡村振兴提供有力支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二）工作要求。顺应县城人口流动变化趋势，立足资源环境承载能力、区位条件、产业基础、功能定位，选择一批条件好的县城作为示范地区重点发展，防止人口流失县城盲目建设。充分发挥市场在资源配置中的决定性作用，引导支持各类市场主体参与县城建设；更好发挥政府作用，切实履行制定规划政策、提供公共服务、营造制度环境等方面职责。以县域为基本单元推进城乡融合发展，发挥县城连接城市、服务乡村作用，增强对乡村的辐射带动能力，促进县城基础设施和公共服务向乡村延伸覆盖，强化县城与邻近城市发展的衔接配合。统筹发展和安全，严格落实耕地和永久基本农田、生态保护红线、城镇开发边界，守住历史文化根脉，防止大拆大建、贪大求洋，严格控制撤县建市设区，防控灾害事故风险，防范地方政府债务风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三）发展目标。到2025年，以县城为重要载体的城镇化建设取得重要进展，县城短板弱项进一步补齐补强，一批具有良好区位优势和产业基础、资源环境承载能力较强、集聚人口经济条件较好的县城建设取得明显成效，公共资源配置与常住人口规模基本匹配，特色优势产业发展壮大，市政设施基本完备，公共服务全面提升，人居环境有效改善，综合承载能力明显增强，农民到县城就业安家规模不断扩大，县城居民生活品质明显改善。再经过一个时期的努力，在全国范围内基本建成各具特色、富有活力、宜居宜业的现代化县城，与邻近大中城市的发展差距显著缩小，促进城镇体系完善、支撑城乡融合发展作用进一步彰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1"/>
        <w:jc w:val="left"/>
        <w:rPr>
          <w:rFonts w:hint="default" w:ascii="Times New Roman" w:hAnsi="Times New Roman" w:eastAsia="宋体" w:cs="Times New Roman"/>
          <w:sz w:val="28"/>
          <w:szCs w:val="28"/>
        </w:rPr>
      </w:pPr>
      <w:r>
        <w:rPr>
          <w:rFonts w:hint="default" w:ascii="Times New Roman" w:hAnsi="Times New Roman" w:eastAsia="宋体" w:cs="Times New Roman"/>
          <w:b/>
          <w:bCs/>
          <w:color w:val="000000"/>
          <w:kern w:val="0"/>
          <w:sz w:val="28"/>
          <w:szCs w:val="28"/>
          <w:bdr w:val="none" w:color="auto" w:sz="0" w:space="0"/>
          <w:lang w:val="en-US" w:eastAsia="zh-CN" w:bidi="ar"/>
        </w:rPr>
        <w:t>二、科学把握功能定位，分类引导县城发展方向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四）加快发展大城市周边县城。支持位于城市群和都市圈范围内的县城融入邻近大城市建设发展，主动承接人口、产业、功能特别是一般性制造业、区域性物流基地、专业市场、过度集中的公共服务资源疏解转移，强化快速交通连接，发展成为与邻近大城市通勤便捷、功能互补、产业配套的卫星县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五）积极培育专业功能县城。支持具有资源、交通等优势的县城发挥专业特长，培育发展特色经济和支柱产业，强化产业平台支撑，提高就业吸纳能力，发展成为先进制造、商贸流通、文化旅游等专业功能县城。支持边境县城完善基础设施，强化公共服务和边境贸易等功能，提升人口集聚能力和守边固边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六）合理发展农产品主产区县城。推动位于农产品主产区内的县城集聚发展农村二三产业，延长农业产业链条，做优做强农产品加工业和农业生产性服务业，更多吸纳县域内农业转移人口，为有效服务“三农”、保障粮食安全提供支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七）有序发展重点生态功能区县城。推动位于重点生态功能区内的县城逐步有序承接生态地区超载人口转移，完善财政转移支付制度，增强公共服务供给能力，发展适宜产业和清洁能源，为保护修复生态环境、筑牢生态安全屏障提供支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八）引导人口流失县城转型发展。结合城镇发展变化态势，推动人口流失县城严控城镇建设用地增量、盘活存量，促进人口和公共服务资源适度集中，加强民生保障和救助扶助，有序引导人口向邻近的经济发展优势区域转移，支持有条件的资源枯竭县城培育接续替代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1"/>
        <w:jc w:val="left"/>
        <w:rPr>
          <w:rFonts w:hint="default" w:ascii="Times New Roman" w:hAnsi="Times New Roman" w:eastAsia="宋体" w:cs="Times New Roman"/>
          <w:sz w:val="28"/>
          <w:szCs w:val="28"/>
        </w:rPr>
      </w:pPr>
      <w:r>
        <w:rPr>
          <w:rFonts w:hint="default" w:ascii="Times New Roman" w:hAnsi="Times New Roman" w:eastAsia="宋体" w:cs="Times New Roman"/>
          <w:b/>
          <w:bCs/>
          <w:color w:val="000000"/>
          <w:kern w:val="0"/>
          <w:sz w:val="28"/>
          <w:szCs w:val="28"/>
          <w:bdr w:val="none" w:color="auto" w:sz="0" w:space="0"/>
          <w:lang w:val="en-US" w:eastAsia="zh-CN" w:bidi="ar"/>
        </w:rPr>
        <w:t>三、培育发展特色优势产业，稳定扩大县城就业岗位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九）增强县城产业支撑能力。重点发展比较优势明显、带动农业农村能力强、就业容量大的产业，统筹培育本地产业和承接外部产业转移，促进产业转型升级。突出特色、错位发展，因地制宜发展一般性制造业。以“粮头食尾”、“农头工尾”为抓手，培育农产品加工业集群，发展农资供应、技术集成、仓储物流、农产品营销等农业生产性服务业。根据文化旅游资源禀赋，培育文化体验、休闲度假、特色民宿、养生养老等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十）提升产业平台功能。依托各类开发区、产业集聚区、农民工返乡创业园等平台，引导县域产业集中集聚发展。支持符合条件的县城建设产业转型升级示范园区。根据需要配置公共配套设施，健全标准厂房、通用基础制造装备、共性技术研发仪器设备、质量基础设施、仓储集散回收设施。鼓励农民工集中的产业园区及企业建设集体宿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十一）健全商贸流通网络。发展物流中心和专业市场，打造工业品和农产品分拨中转地。根据需要建设铁路专用线，依托交通场站建设物流设施。建设具备运输仓储、集散分拨等功能的物流配送中心，发展物流共同配送，鼓励社会力量布设智能快件箱。改善农贸市场交易棚厅等经营条件，完善冷链物流设施，建设面向城市消费的生鲜食品低温加工处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十二）完善消费基础设施。围绕产业转型升级和居民消费升级需求，改善县城消费环境。改造提升百货商场、大型卖场、特色商业街，发展新型消费集聚区。完善消费服务中心、公共交通站点、智能引导系统、安全保障设施，配置电子商务硬件设施及软件系统，建设展示交易公用空间。完善游客服务中心、旅游道路、旅游厕所等配套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十三）强化职业技能培训。大规模开展面向农民工特别是困难农民工的职业技能培训，提高其技能素质和稳定就业能力。统筹发挥企业、职业学校、技工学校作用，聚焦新职业新工种和紧缺岗位加强职业技能培训，提高与市场需求契合度。推动公共实训基地共建共享，建设职业技能培训线上平台。落实好培训补贴政策，畅通培训补贴直达企业和培训者渠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1"/>
        <w:jc w:val="left"/>
        <w:rPr>
          <w:rFonts w:hint="default" w:ascii="Times New Roman" w:hAnsi="Times New Roman" w:eastAsia="宋体" w:cs="Times New Roman"/>
          <w:sz w:val="28"/>
          <w:szCs w:val="28"/>
        </w:rPr>
      </w:pPr>
      <w:r>
        <w:rPr>
          <w:rFonts w:hint="default" w:ascii="Times New Roman" w:hAnsi="Times New Roman" w:eastAsia="宋体" w:cs="Times New Roman"/>
          <w:b/>
          <w:bCs/>
          <w:color w:val="000000"/>
          <w:kern w:val="0"/>
          <w:sz w:val="28"/>
          <w:szCs w:val="28"/>
          <w:bdr w:val="none" w:color="auto" w:sz="0" w:space="0"/>
          <w:lang w:val="en-US" w:eastAsia="zh-CN" w:bidi="ar"/>
        </w:rPr>
        <w:t>四、完善市政设施体系，夯实县城运行基础支撑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十四）完善市政交通设施。完善机动车道、非机动车道、人行道，健全配套交通管理设施和交通安全设施。建设以配建停车场为主、路外公共停车场为辅、路内停车为补充的停车系统。优化公共充换电设施建设布局，加快建设充电桩。完善公路客运站服务功能，加强公路客运站土地综合开发利用。建设公共交通场站，优化公交站点布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十五）畅通对外连接通道。提高县城与周边大中城市互联互通水平，扩大干线铁路、高速公路、国省干线公路等覆盖面。推进县城市政道路与干线公路高效衔接，有序开展干线公路过境段、进出城瓶颈路段升级改造。支持有需要的县城开通与周边城市的城际公交，开展客运班线公交化改造。引导有条件的大城市轨道交通适当向周边县城延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十六）健全防洪排涝设施。坚持防御外洪与治理内涝并重，逐步消除严重易涝积水区段。实施排水管网和泵站建设改造，修复破损和功能失效设施。建设排涝通道，整治河道、湖塘、排洪沟、道路边沟，确保与管网排水能力相匹配。推进雨水源头减排，增强地面渗水能力。完善堤线布置和河流护岸工程，合理建设截洪沟等设施，降低外洪入城风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十七）增强防灾减灾能力。健全灾害监测体系，提高预警预报水平。采取搬迁避让和工程治理等手段，防治泥石流、崩塌、滑坡、地面塌陷等地质灾害。提高建筑抗灾能力，开展重要建筑抗震鉴定及加固改造。推进公共建筑消防设施达标建设，规划布局消防栓、蓄水池、微型消防站等配套设施。合理布局应急避难场所，强化体育场馆等公共建筑应急避难功能。完善供水、供电、通信等城市生命线备用设施，加强应急救灾和抢险救援能力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十八）加强老化管网改造。全面推进老化燃气管道更新改造，重点改造不符合标准规范、存在安全隐患的燃气管道、燃气场站、居民户内设施及监测设施。改造水质不能稳定达标水厂及老旧破损供水管网。推进老化供热管道更新改造，提高北方地区县城集中供暖比例。开展电网升级改造，推动必要的路面电网及通信网架空线入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十九）推动老旧小区改造。加快改造建成年代较早、失养失修失管、配套设施不完善、居民改造意愿强烈的住宅小区，改善居民基本居住条件。完善老旧小区及周边水电路气热信等配套设施，加强无障碍设施建设改造。科学布局社区综合服务设施，推进养老托育等基本公共服务便捷供给。结合老旧小区改造，统筹推动老旧厂区、老旧街区、城中村改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二十）推进数字化改造。建设新型基础设施，发展智慧县城。推动第五代移动通信网络规模化部署，建设高速光纤宽带网络。推行县城运行一网统管，促进市政公用设施及建筑等物联网应用、智能化改造，部署智能电表和智能水表等感知终端。推行政务服务一网通办，提供工商、税务、证照证明、行政许可等办事便利。推行公共服务一网通享，促进学校、医院、图书馆等资源数字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1"/>
        <w:jc w:val="left"/>
        <w:rPr>
          <w:rFonts w:hint="default" w:ascii="Times New Roman" w:hAnsi="Times New Roman" w:eastAsia="宋体" w:cs="Times New Roman"/>
          <w:sz w:val="28"/>
          <w:szCs w:val="28"/>
        </w:rPr>
      </w:pPr>
      <w:r>
        <w:rPr>
          <w:rFonts w:hint="default" w:ascii="Times New Roman" w:hAnsi="Times New Roman" w:eastAsia="宋体" w:cs="Times New Roman"/>
          <w:b/>
          <w:bCs/>
          <w:color w:val="000000"/>
          <w:kern w:val="0"/>
          <w:sz w:val="28"/>
          <w:szCs w:val="28"/>
          <w:bdr w:val="none" w:color="auto" w:sz="0" w:space="0"/>
          <w:lang w:val="en-US" w:eastAsia="zh-CN" w:bidi="ar"/>
        </w:rPr>
        <w:t>五、强化公共服务供给，增进县城民生福祉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二十一）完善医疗卫生体系。推进县级医院（含中医院）提标改造，提高传染病检测诊治和重症监护救治能力，依托县级医院建设县级急救中心。支持县域人口达到一定规模的县完善县级医院，推动达到三级医院设施条件和服务能力。推进县级疾控中心建设，配齐疾病监测预警、实验室检测、现场处置等设备。完善县级妇幼保健机构设施设备。建立省（自治区、直辖市）和地级及以上城市三甲医院对薄弱县级医院的帮扶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二十二）扩大教育资源供给。推进义务教育学校扩容增位，按照办学标准改善教学和生活设施。鼓励高中阶段学校多样化发展，全面改善县域普通高中办学条件，基本消除普通高中“大班额”现象。鼓励发展职业学校，深入推进产教融合。完善幼儿园布局，大力发展公办幼儿园，引导扶持民办幼儿园提供普惠性服务。落实农民工随迁子女入学和转学政策，保障学龄前儿童和义务教育阶段学生入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二十三）发展养老托育服务。提升公办养老机构服务能力，完善公建民营管理机制，提供基本养老和长期照护服务。扩大普惠养老床位供给，扶持护理型民办养老机构发展，鼓励社会力量建设完善社区居家养老服务网络，提供失能护理、日间照料及助餐助浴助洁助医助行等服务。推进公共设施适老化改造。发展普惠性托育服务，支持社会力量发展综合托育服务机构和社区托育服务设施，支持有条件的用人单位为职工提供托育服务，支持有条件的幼儿园开设托班招收2至3岁幼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二十四）优化文化体育设施。根据需要完善公共图书馆、文化馆、博物馆等场馆功能，发展智慧广电平台和融媒体中心，完善应急广播体系。建设全民健身中心、公共体育场、健身步道、社会足球场地、户外运动公共服务设施，加快推进学校场馆开放共享。有序建设体育公园，打造绿色便捷的居民健身新载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二十五）完善社会福利设施。建设专业化残疾人康复、托养、综合服务设施。完善儿童福利机构及残疾儿童康复救助定点机构，建设未成年人救助保护机构和保护工作站。依托现有社会福利设施建设流浪乞讨人员救助管理设施。建设公益性殡葬设施，改造老旧殡仪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1"/>
        <w:jc w:val="left"/>
        <w:rPr>
          <w:rFonts w:hint="default" w:ascii="Times New Roman" w:hAnsi="Times New Roman" w:eastAsia="宋体" w:cs="Times New Roman"/>
          <w:sz w:val="28"/>
          <w:szCs w:val="28"/>
        </w:rPr>
      </w:pPr>
      <w:r>
        <w:rPr>
          <w:rFonts w:hint="default" w:ascii="Times New Roman" w:hAnsi="Times New Roman" w:eastAsia="宋体" w:cs="Times New Roman"/>
          <w:b/>
          <w:bCs/>
          <w:color w:val="000000"/>
          <w:kern w:val="0"/>
          <w:sz w:val="28"/>
          <w:szCs w:val="28"/>
          <w:bdr w:val="none" w:color="auto" w:sz="0" w:space="0"/>
          <w:lang w:val="en-US" w:eastAsia="zh-CN" w:bidi="ar"/>
        </w:rPr>
        <w:t>六、加强历史文化和生态保护，提升县城人居环境质量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二十六）加强历史文化保护传承。传承延续历史文脉，厚植传统文化底蕴。保护历史文化名城名镇和历史文化街区，保留历史肌理、空间尺度、景观环境。加强革命文物、红色遗址、文化遗产保护，活化利用历史建筑和工业遗产。推动非物质文化遗产融入县城建设。鼓励建筑设计传承创新。禁止拆真建假、以假乱真，严禁随意拆除老建筑、大规模迁移砍伐老树，严禁侵占风景名胜区内土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二十七）打造蓝绿生态空间。完善生态绿地系统，依托山水林田湖草等自然基底建设生态绿色廊道，利用周边荒山坡地和污染土地开展国土绿化，建设街心绿地、绿色游憩空间、郊野公园。加强河道、湖泊、滨海地带等湿地生态和水环境修复，合理保持水网密度和水体自然连通。加强黑臭水体治理，对河湖岸线进行生态化改造，恢复和增强水体自净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二十八）推进生产生活低碳化。推动能源清洁低碳安全高效利用，引导非化石能源消费和分布式能源发展，在有条件的地区推进屋顶分布式光伏发电。坚决遏制“两高”项目盲目发展，深入推进产业园区循环化改造。大力发展绿色建筑，推广装配式建筑、节能门窗、绿色建材、绿色照明，全面推行绿色施工。推动公共交通工具和物流配送、市政环卫等车辆电动化。推广节能低碳节水用品和环保再生产品，减少一次性消费品和包装用材消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二十九）完善垃圾收集处理体系。因地制宜建设生活垃圾分类处理系统，配备满足分类清运需求、密封性好、压缩式的收运车辆，改造垃圾房和转运站，建设与清运量相适应的垃圾焚烧设施，做好全流程恶臭防治。合理布局危险废弃物收集和集中利用处置设施。健全县域医疗废弃物收集转运处置体系。推进大宗固体废弃物综合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三十）增强污水收集处理能力。完善老城区及城中村等重点区域污水收集管网，更新修复混错接、漏接、老旧破损管网，推进雨污分流改造。开展污水处理差别化精准提标，对现有污水处理厂进行扩容改造及恶臭治理。在缺水地区和水环境敏感地区推进污水资源化利用。推进污泥无害化资源化处置，逐步压减污泥填埋规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1"/>
        <w:jc w:val="left"/>
        <w:rPr>
          <w:rFonts w:hint="default" w:ascii="Times New Roman" w:hAnsi="Times New Roman" w:eastAsia="宋体" w:cs="Times New Roman"/>
          <w:sz w:val="28"/>
          <w:szCs w:val="28"/>
        </w:rPr>
      </w:pPr>
      <w:r>
        <w:rPr>
          <w:rFonts w:hint="default" w:ascii="Times New Roman" w:hAnsi="Times New Roman" w:eastAsia="宋体" w:cs="Times New Roman"/>
          <w:b/>
          <w:bCs/>
          <w:color w:val="000000"/>
          <w:kern w:val="0"/>
          <w:sz w:val="28"/>
          <w:szCs w:val="28"/>
          <w:bdr w:val="none" w:color="auto" w:sz="0" w:space="0"/>
          <w:lang w:val="en-US" w:eastAsia="zh-CN" w:bidi="ar"/>
        </w:rPr>
        <w:t>七、提高县城辐射带动乡村能力，促进县乡村功能衔接互补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三十一）推进县城基础设施向乡村延伸。推动市政供水供气供热管网向城郊乡村及规模较大镇延伸，在有条件的地区推进城乡供水一体化。推进县乡村（户）道路连通、城乡客运一体化。以需求为导向逐步推进第五代移动通信网络和千兆光网向乡村延伸。建设以城带乡的污水垃圾收集处理系统。建设联结城乡的冷链物流、电商平台、农贸市场网络，带动农产品进城和工业品入乡。建立城乡统一的基础设施管护运行机制，落实管护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三十二）推进县城公共服务向乡村覆盖。鼓励县级医院与乡镇卫生院建立紧密型县域医疗卫生共同体，推行派驻、巡诊、轮岗等方式，鼓励发展远程医疗，提升非县级政府驻地特大镇卫生院医疗服务能力。发展城乡教育联合体，深化义务教育教师“县管校聘”管理改革，推进县域内校长教师交流轮岗。健全县乡村衔接的三级养老服务网络，发展乡村普惠型养老服务和互助性养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三十三）推进巩固拓展脱贫攻坚成果同乡村振兴有效衔接。以国家乡村振兴重点帮扶县和易地扶贫搬迁大中型集中安置区为重点，强化政策支持，守住不发生规模性返贫底线。推动国家乡村振兴重点帮扶县增强巩固脱贫成果及内生发展能力。推进大中型集中安置区新型城镇化建设，加强就业和产业扶持，完善产业配套设施、基础设施、公共服务设施，提升社区治理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1"/>
        <w:jc w:val="left"/>
        <w:rPr>
          <w:rFonts w:hint="default" w:ascii="Times New Roman" w:hAnsi="Times New Roman" w:eastAsia="宋体" w:cs="Times New Roman"/>
          <w:sz w:val="28"/>
          <w:szCs w:val="28"/>
        </w:rPr>
      </w:pPr>
      <w:r>
        <w:rPr>
          <w:rFonts w:hint="default" w:ascii="Times New Roman" w:hAnsi="Times New Roman" w:eastAsia="宋体" w:cs="Times New Roman"/>
          <w:b/>
          <w:bCs/>
          <w:color w:val="000000"/>
          <w:kern w:val="0"/>
          <w:sz w:val="28"/>
          <w:szCs w:val="28"/>
          <w:bdr w:val="none" w:color="auto" w:sz="0" w:space="0"/>
          <w:lang w:val="en-US" w:eastAsia="zh-CN" w:bidi="ar"/>
        </w:rPr>
        <w:t>八、深化体制机制创新，为县城建设提供政策保障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三十四）健全农业转移人口市民化机制。全面落实取消县城落户限制政策，确保稳定就业生活的外来人口与本地农业转移人口落户一视同仁。确保新落户人口与县城居民享有同等公共服务，保障农民工等非户籍常住人口均等享有教育、医疗、住房保障等基本公共服务。以新生代农民工为重点推动社会保险参保扩面，全面落实企业为农民工缴纳职工养老、医疗、工伤、失业、生育等社会保险费的责任，合理引导灵活就业农民工按规定参加职工基本医疗保险和城镇职工基本养老保险。依法保障进城落户农民的农村土地承包权、宅基地使用权、集体收益分配权，支持其依法自愿有偿转让上述权益。建立健全省以下财政转移支付与农业转移人口市民化挂钩机制，重点支持吸纳农业转移人口落户多的县城。建立健全省以下城镇建设用地增加规模与吸纳农业转移人口落户数量挂钩机制，专项安排与进城落户人口数量相适应的新增建设用地计划指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三十五）建立多元可持续的投融资机制。根据项目属性和收益，合理谋划投融资方案。对公益性项目，加强地方财政资金投入，其中符合条件项目可通过中央预算内投资和地方政府专项债券予以支持。对准公益性项目和经营性项目，提升县域综合金融服务水平，鼓励银行业金融机构特别是开发性政策性金融机构增加中长期贷款投放，支持符合条件的企业发行县城新型城镇化建设专项企业债券。有效防范化解地方政府债务风险，促进县区财政平稳运行。引导社会资金参与县城建设，盘活国有存量优质资产，规范推广政府和社会资本合作模式，稳妥推进基础设施领域不动产投资信托基金试点，鼓励中央企业等参与县城建设，引导有条件的地区整合利用好既有平台公司。完善公用事业定价机制，合理确定价格水平，鼓励结合管网改造降低漏损率和运行成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三十六）建立集约高效的建设用地利用机制。加强存量低效建设用地再开发，合理安排新增建设用地计划指标，保障县城建设正常用地需求。推广节地型、紧凑式高效开发模式，规范建设用地二级市场。鼓励采用长期租赁、先租后让、弹性年期供应等方式供应工业用地，提升现有工业用地容积率和单位用地面积产出率。稳妥开发低丘缓坡地，合理确定开发用途、规模、布局和项目用地准入门槛。按照国家统一部署，稳妥有序推进农村集体经营性建设用地入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1"/>
        <w:jc w:val="left"/>
        <w:rPr>
          <w:rFonts w:hint="default" w:ascii="Times New Roman" w:hAnsi="Times New Roman" w:eastAsia="宋体" w:cs="Times New Roman"/>
          <w:sz w:val="28"/>
          <w:szCs w:val="28"/>
        </w:rPr>
      </w:pPr>
      <w:r>
        <w:rPr>
          <w:rFonts w:hint="default" w:ascii="Times New Roman" w:hAnsi="Times New Roman" w:eastAsia="宋体" w:cs="Times New Roman"/>
          <w:b/>
          <w:bCs/>
          <w:color w:val="000000"/>
          <w:kern w:val="0"/>
          <w:sz w:val="28"/>
          <w:szCs w:val="28"/>
          <w:bdr w:val="none" w:color="auto" w:sz="0" w:space="0"/>
          <w:lang w:val="en-US" w:eastAsia="zh-CN" w:bidi="ar"/>
        </w:rPr>
        <w:t>九、组织实施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三十七）加强组织领导。坚持和加强党的全面领导，发挥各级党组织作用，建立中央指导、省负总责、市县抓落实的工作机制，为推进以县城为重要载体的城镇化建设提供根本保证。发挥城镇化工作暨城乡融合发展工作部际联席会议制度作用，国家发展改革委要会同各成员单位，强化统筹协调和政策保障，扎实推进示范等工作。各省（自治区、直辖市）要明确具体任务举措，做好组织协调和指导督促。各市县要强化主体责任，切实推动目标任务落地见</w:t>
      </w:r>
      <w:bookmarkStart w:id="0" w:name="_GoBack"/>
      <w:bookmarkEnd w:id="0"/>
      <w:r>
        <w:rPr>
          <w:rFonts w:hint="default" w:ascii="Times New Roman" w:hAnsi="Times New Roman" w:eastAsia="宋体" w:cs="Times New Roman"/>
          <w:color w:val="000000"/>
          <w:kern w:val="0"/>
          <w:sz w:val="28"/>
          <w:szCs w:val="28"/>
          <w:bdr w:val="none" w:color="auto" w:sz="0" w:space="0"/>
          <w:lang w:val="en-US" w:eastAsia="zh-CN" w:bidi="ar"/>
        </w:rPr>
        <w:t>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三十八）强化规划引领。坚持“一县一策”，以县城为主，兼顾县级市城区和非县级政府驻地特大镇，科学编制和完善建设方案，按照“缺什么补什么”原则，明确建设重点、保障措施、组织实施方式，精准补齐短板弱项，防止盲目重复建设。坚持项目跟着规划走，科学谋划储备建设项目，切实做好项目前期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480"/>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bdr w:val="none" w:color="auto" w:sz="0" w:space="0"/>
          <w:lang w:val="en-US" w:eastAsia="zh-CN" w:bidi="ar"/>
        </w:rPr>
        <w:t>（三十九）推动试点先行。合理把握县城建设的时序、节奏、步骤。率先在示范地区推动县城补短板强弱项，细化实化建设任务，创新政策支撑机制和项目投资运营模式，增强县城综合承载能力，及早取得实质性进展。在示范工作基础上，及时总结推广典型经验和有效做法，稳步有序推动其他县城建设，形成以县城为重要载体的城镇化建设有效路径。</w:t>
      </w:r>
    </w:p>
    <w:p>
      <w:pPr>
        <w:rPr>
          <w:rFonts w:hint="default" w:ascii="Times New Roman" w:hAnsi="Times New Roman" w:eastAsia="宋体" w:cs="Times New Roman"/>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MmEzMDYzYmEyYjM4NTExOGQxZWQyN2EzYThkZWYifQ=="/>
  </w:docVars>
  <w:rsids>
    <w:rsidRoot w:val="00000000"/>
    <w:rsid w:val="06BB49A1"/>
    <w:rsid w:val="274C1716"/>
    <w:rsid w:val="29D9320A"/>
    <w:rsid w:val="29E6465C"/>
    <w:rsid w:val="2D7709CD"/>
    <w:rsid w:val="41D84786"/>
    <w:rsid w:val="44D9098D"/>
    <w:rsid w:val="485D20CB"/>
    <w:rsid w:val="5F6F32CF"/>
    <w:rsid w:val="656C3ED6"/>
    <w:rsid w:val="66404A0A"/>
    <w:rsid w:val="73A1270B"/>
    <w:rsid w:val="7D755A6C"/>
    <w:rsid w:val="7E2C626D"/>
    <w:rsid w:val="7E730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pacing w:line="360" w:lineRule="auto"/>
      <w:ind w:firstLine="880" w:firstLineChars="200"/>
      <w:jc w:val="both"/>
    </w:pPr>
    <w:rPr>
      <w:rFonts w:ascii="Times New Roman" w:hAnsi="Times New Roman" w:eastAsia="宋体" w:cstheme="minorBidi"/>
      <w:kern w:val="2"/>
      <w:sz w:val="28"/>
      <w:szCs w:val="24"/>
      <w:lang w:val="en-US" w:eastAsia="zh-CN" w:bidi="ar-SA"/>
    </w:rPr>
  </w:style>
  <w:style w:type="paragraph" w:styleId="3">
    <w:name w:val="heading 1"/>
    <w:basedOn w:val="1"/>
    <w:next w:val="1"/>
    <w:qFormat/>
    <w:uiPriority w:val="0"/>
    <w:pPr>
      <w:spacing w:before="50" w:beforeLines="50" w:beforeAutospacing="0" w:after="100" w:afterLines="100" w:afterAutospacing="0"/>
      <w:jc w:val="center"/>
      <w:outlineLvl w:val="0"/>
    </w:pPr>
    <w:rPr>
      <w:rFonts w:hint="eastAsia" w:ascii="宋体" w:hAnsi="宋体" w:eastAsia="黑体" w:cs="宋体"/>
      <w:b/>
      <w:bCs/>
      <w:kern w:val="44"/>
      <w:sz w:val="36"/>
      <w:szCs w:val="48"/>
      <w:lang w:bidi="ar"/>
    </w:rPr>
  </w:style>
  <w:style w:type="paragraph" w:styleId="4">
    <w:name w:val="heading 2"/>
    <w:basedOn w:val="1"/>
    <w:next w:val="1"/>
    <w:link w:val="9"/>
    <w:semiHidden/>
    <w:unhideWhenUsed/>
    <w:qFormat/>
    <w:uiPriority w:val="0"/>
    <w:pPr>
      <w:keepNext/>
      <w:keepLines/>
      <w:spacing w:before="100" w:beforeLines="100" w:after="50" w:afterLines="50" w:line="240" w:lineRule="auto"/>
      <w:ind w:firstLine="0" w:firstLineChars="0"/>
      <w:jc w:val="left"/>
      <w:outlineLvl w:val="1"/>
    </w:pPr>
    <w:rPr>
      <w:rFonts w:ascii="Times New Roman" w:hAnsi="Times New Roman" w:eastAsia="宋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character" w:styleId="7">
    <w:name w:val="Emphasis"/>
    <w:basedOn w:val="6"/>
    <w:qFormat/>
    <w:uiPriority w:val="0"/>
  </w:style>
  <w:style w:type="character" w:styleId="8">
    <w:name w:val="HTML Cite"/>
    <w:basedOn w:val="6"/>
    <w:uiPriority w:val="0"/>
  </w:style>
  <w:style w:type="character" w:customStyle="1" w:styleId="9">
    <w:name w:val="标题 2 Char"/>
    <w:link w:val="4"/>
    <w:qFormat/>
    <w:uiPriority w:val="8"/>
    <w:rPr>
      <w:rFonts w:ascii="Times New Roman" w:hAnsi="Times New Roman" w:eastAsia="黑体"/>
      <w:b/>
      <w:bCs/>
      <w:kern w:val="2"/>
      <w:sz w:val="32"/>
      <w:szCs w:val="32"/>
    </w:rPr>
  </w:style>
  <w:style w:type="paragraph" w:customStyle="1" w:styleId="10">
    <w:name w:val="一级标题"/>
    <w:basedOn w:val="1"/>
    <w:next w:val="1"/>
    <w:uiPriority w:val="0"/>
    <w:pPr>
      <w:keepNext/>
      <w:keepLines/>
      <w:spacing w:before="50" w:beforeLines="50" w:after="100" w:afterLines="100"/>
      <w:jc w:val="center"/>
      <w:outlineLvl w:val="0"/>
    </w:pPr>
    <w:rPr>
      <w:rFonts w:eastAsia="黑体"/>
      <w:b/>
      <w:kern w:val="44"/>
      <w:sz w:val="36"/>
    </w:rPr>
  </w:style>
  <w:style w:type="paragraph" w:customStyle="1" w:styleId="11">
    <w:name w:val="正文11"/>
    <w:basedOn w:val="1"/>
    <w:uiPriority w:val="0"/>
    <w:pPr>
      <w:spacing w:line="360" w:lineRule="auto"/>
      <w:ind w:firstLine="640" w:firstLineChars="200"/>
    </w:pPr>
    <w:rPr>
      <w:rFonts w:hint="eastAsia" w:ascii="宋体" w:hAnsi="宋体" w:eastAsia="宋体" w:cs="宋体"/>
      <w:sz w:val="28"/>
      <w:szCs w:val="28"/>
    </w:rPr>
  </w:style>
  <w:style w:type="character" w:customStyle="1" w:styleId="12">
    <w:name w:val="bsharetext"/>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Words>
  <Characters>38</Characters>
  <Lines>0</Lines>
  <Paragraphs>0</Paragraphs>
  <TotalTime>1</TotalTime>
  <ScaleCrop>false</ScaleCrop>
  <LinksUpToDate>false</LinksUpToDate>
  <CharactersWithSpaces>39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2021-08-10T01:12:00Z</dcterms:created>
  <dc:creator>11918</dc:creator>
  <cp:lastModifiedBy>Sunshine~·</cp:lastModifiedBy>
  <dcterms:modified xsi:type="dcterms:W3CDTF">2022-05-07T05:59:15Z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EA6AE74F45C94F05AF6C07D8EE8EFAB9</vt:lpwstr>
  </property>
</Properties>
</file>