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花池收边的施工标准</w:t>
      </w:r>
    </w:p>
    <w:p>
      <w:pPr>
        <w:rPr>
          <w:rFonts w:hint="default" w:ascii="Times New Roman" w:hAnsi="Times New Roman" w:cs="Times New Roma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56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园林硬质景观是相对于软质景观而言的。硬质景观通常是人造的，一般指铺地、墙体、栏杆、景观构筑等。下面将介绍几类硬质景观的施工标准，先看看花池收边的施工标准。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562600" cy="3276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最矮墙压顶类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01 石材要求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此类的花池收边，首先石材的规格颜色要符合设计要求，石材切割按给定的半径和角度定型加工，石材的厚度应控制一致。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02 施工工艺要求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按尺寸试拼，对弧线不流畅的部位，在正式安装前调整校正准确;对厚度不统一的部位，按要求厚度调整。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03 质量要求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(1) 接口严密，弧线流畅;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(2) 石材规格大小一致，相邻的石材间高差小于2mm;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(3) 和相邻地面的高差按设计要求控制。风，毫无预兆地席卷整片旷野，撩动人的思绪万千。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侧石类收边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01 材料要求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规格尺寸符合景观设计要求;弧线部分按半径和转弯角度等分加工。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02 工艺要求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材料验收合格后按规范施工;正式安装前，先进行试拼排版，保证接缝严密、弧线流畅。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03 质量要求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规格尺寸符合景观设计要求;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弧线部分按半径和转弯角度等分加工;不允许出现小边，小角;保证施工质量的整体统一性;缝的大小误差小于1mm;相邻两块材料间的高低误差小于1mm。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施工通病及预防措施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01 沉降断裂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基层处理强度不够，应加强基层施工监管，保证基层施工质量。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02 缝隙大小不一致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材料加工不符合要求或未按要求施工。应加强材料验收控制，对不合格材料要拒收处理;施工前按尺寸放样试安装，将有瑕疵的材料修整好，方可进行安装。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03 弧线不流畅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安装前试拼调整，确保弧线流畅。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firstLine="0" w:firstLineChars="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49A1"/>
    <w:rsid w:val="11DE24BE"/>
    <w:rsid w:val="274C1716"/>
    <w:rsid w:val="29E6465C"/>
    <w:rsid w:val="2D7709CD"/>
    <w:rsid w:val="41D84786"/>
    <w:rsid w:val="44D9098D"/>
    <w:rsid w:val="485D20CB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1">
    <w:name w:val="一级标题"/>
    <w:basedOn w:val="1"/>
    <w:next w:val="1"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2">
    <w:name w:val="正文11"/>
    <w:basedOn w:val="1"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2022-03-10T01:19:07Z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EA6AE74F45C94F05AF6C07D8EE8EFAB9</vt:lpwstr>
  </property>
</Properties>
</file>