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4" w:rsidRPr="00EC4CC4" w:rsidRDefault="00314AEA" w:rsidP="00EC4CC4">
      <w:pPr>
        <w:widowControl/>
        <w:shd w:val="clear" w:color="auto" w:fill="FFFFFF"/>
        <w:spacing w:before="300" w:after="210" w:line="60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8"/>
          <w:szCs w:val="30"/>
        </w:rPr>
      </w:pPr>
      <w:bookmarkStart w:id="0" w:name="_GoBack"/>
      <w:r w:rsidRPr="00EC4CC4">
        <w:rPr>
          <w:rFonts w:ascii="微软雅黑" w:eastAsia="微软雅黑" w:hAnsi="微软雅黑" w:cs="宋体" w:hint="eastAsia"/>
          <w:b/>
          <w:bCs/>
          <w:color w:val="333333"/>
          <w:kern w:val="36"/>
          <w:sz w:val="28"/>
          <w:szCs w:val="30"/>
        </w:rPr>
        <w:t>2月全国混凝土价格环比下跌1.52%，假期后市场恢复不及预期</w:t>
      </w:r>
    </w:p>
    <w:bookmarkEnd w:id="0"/>
    <w:p w:rsidR="00314AEA" w:rsidRPr="00EC4CC4" w:rsidRDefault="00314AEA" w:rsidP="00EC4CC4">
      <w:pPr>
        <w:widowControl/>
        <w:shd w:val="clear" w:color="auto" w:fill="FFFFFF"/>
        <w:spacing w:before="300" w:after="210" w:line="60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314AEA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摘要：</w:t>
      </w:r>
    </w:p>
    <w:p w:rsidR="00314AEA" w:rsidRPr="00314AEA" w:rsidRDefault="00314AEA" w:rsidP="00314A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314AEA">
        <w:rPr>
          <w:rFonts w:ascii="微软雅黑" w:eastAsia="微软雅黑" w:hAnsi="微软雅黑" w:cs="宋体" w:hint="eastAsia"/>
          <w:color w:val="666666"/>
          <w:kern w:val="0"/>
          <w:szCs w:val="21"/>
        </w:rPr>
        <w:t>引言：2022年2月份，受春节假期影响，市场需求降至全年谷底，通过百年建筑网对国内12099个工程项目开复工调研情况显示，截至2月24日，工地开复工同比降低17.3%，混凝土出货量同比下滑近40%。成...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引言：2022年2月份，受春节假期影响，市场需求降至全年谷底，通过百年建筑网对国内12099个工程项目开复工调研情况显示，截至2月24日，工地开复工同比降低17.3%，</w:t>
      </w:r>
      <w:hyperlink r:id="rId4" w:tgtFrame="_blank" w:history="1">
        <w:r w:rsidRPr="00314AEA">
          <w:rPr>
            <w:rFonts w:ascii="微软雅黑" w:eastAsia="微软雅黑" w:hAnsi="微软雅黑" w:cs="宋体" w:hint="eastAsia"/>
            <w:b/>
            <w:bCs/>
            <w:color w:val="3861AB"/>
            <w:kern w:val="0"/>
            <w:sz w:val="24"/>
            <w:szCs w:val="24"/>
            <w:u w:val="single"/>
          </w:rPr>
          <w:t>混凝土</w:t>
        </w:r>
      </w:hyperlink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出货量同比下滑近40%。成本方面，全国各地</w:t>
      </w:r>
      <w:hyperlink r:id="rId5" w:tgtFrame="_blank" w:history="1">
        <w:r w:rsidRPr="00314AEA">
          <w:rPr>
            <w:rFonts w:ascii="微软雅黑" w:eastAsia="微软雅黑" w:hAnsi="微软雅黑" w:cs="宋体" w:hint="eastAsia"/>
            <w:b/>
            <w:bCs/>
            <w:color w:val="3861AB"/>
            <w:kern w:val="0"/>
            <w:sz w:val="24"/>
            <w:szCs w:val="24"/>
            <w:u w:val="single"/>
          </w:rPr>
          <w:t>水泥价格</w:t>
        </w:r>
      </w:hyperlink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持续回落，原材成本下降，报价亦小幅下行。总体来说，2月份市场下游需求趋弱，全国混凝土量价齐跌。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一、2月份混凝土行情回顾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1、全国</w:t>
      </w:r>
      <w:hyperlink r:id="rId6" w:tgtFrame="_blank" w:history="1">
        <w:r w:rsidRPr="00314AEA">
          <w:rPr>
            <w:rFonts w:ascii="微软雅黑" w:eastAsia="微软雅黑" w:hAnsi="微软雅黑" w:cs="宋体" w:hint="eastAsia"/>
            <w:b/>
            <w:bCs/>
            <w:color w:val="3861AB"/>
            <w:kern w:val="0"/>
            <w:sz w:val="24"/>
            <w:szCs w:val="24"/>
            <w:u w:val="single"/>
          </w:rPr>
          <w:t>混凝土价格</w:t>
        </w:r>
      </w:hyperlink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走势分析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截至2月28日，百年建筑网混凝土均价为452元/方，环比上月下跌1.52%，市场价格持续回落。2月因节后</w:t>
      </w:r>
      <w:hyperlink r:id="rId7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水泥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市场需求回升不及预期，与此同时水泥企业逐步复产，供大于求下全国水泥行情持续跌势。下游方面，春节假期结束后下游市场开启复工，截至2月24日，总体开复工率为69.6%，同比降低17.3%，其中房地产项目开复工率为61.1%，基建开复工率为78.2%。受房地产专项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债风险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不断加压，资金短缺问题凸显，项目施工进度放缓，而新开工项目也有所减少，因此叠加原材成本走弱，混凝土价格弱势运行。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/>
          <w:noProof/>
          <w:color w:val="32323C"/>
          <w:kern w:val="0"/>
          <w:sz w:val="24"/>
          <w:szCs w:val="24"/>
        </w:rPr>
        <w:lastRenderedPageBreak/>
        <w:drawing>
          <wp:inline distT="0" distB="0" distL="0" distR="0" wp14:anchorId="7D6ED52C" wp14:editId="73F0B819">
            <wp:extent cx="5257800" cy="3124200"/>
            <wp:effectExtent l="0" t="0" r="0" b="0"/>
            <wp:docPr id="1" name="图片 1" descr="https://img04.mysteelcdn.com/wz/uploaded/steel/2022/03/02/184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wz/uploaded/steel/2022/03/02/1848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2、全国重点城市混凝土价格变动分析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截至2月28日，全国混凝土C30均价452元/方，较月初下降7元/方。从下表可以看出，2月份全国重点城市混凝土价格弱势运行。仅</w:t>
      </w:r>
      <w:hyperlink r:id="rId9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西北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地区报价小幅上涨，市场需求逐步恢复，</w:t>
      </w:r>
      <w:hyperlink r:id="rId10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兰州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混凝土小幅上涨10元/方；</w:t>
      </w:r>
      <w:hyperlink r:id="rId11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华东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地区混凝土价格弱势下行，由于原材水泥价格持续走低，</w:t>
      </w:r>
      <w:hyperlink r:id="rId12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杭州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13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上海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14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济南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15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福州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16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合肥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17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青岛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价格小幅下跌5-30元/方；</w:t>
      </w:r>
      <w:hyperlink r:id="rId18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华南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地区混凝土价格持续回落，</w:t>
      </w:r>
      <w:hyperlink r:id="rId19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南宁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20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广州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21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东莞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混凝土价格下跌20-30元/方；</w:t>
      </w:r>
      <w:hyperlink r:id="rId22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西南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地区混凝土价格小幅下跌，昆明市场报价下降10元/方；</w:t>
      </w:r>
      <w:hyperlink r:id="rId23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华中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地区市场启动阶段竞争加剧，</w:t>
      </w:r>
      <w:hyperlink r:id="rId24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郑州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25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武汉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分别下跌10和5元/方；</w:t>
      </w:r>
      <w:hyperlink r:id="rId26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华北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环保管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控持续，下游项目停工现象较多，</w:t>
      </w:r>
      <w:hyperlink r:id="rId27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天津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</w:t>
      </w:r>
      <w:hyperlink r:id="rId28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北京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混凝土价格下跌5元/方；</w:t>
      </w:r>
      <w:hyperlink r:id="rId29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东北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</w:t>
      </w:r>
      <w:hyperlink r:id="rId30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沈阳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混凝土价格下跌20元/方。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/>
          <w:noProof/>
          <w:color w:val="32323C"/>
          <w:kern w:val="0"/>
          <w:sz w:val="24"/>
          <w:szCs w:val="24"/>
        </w:rPr>
        <w:lastRenderedPageBreak/>
        <w:drawing>
          <wp:inline distT="0" distB="0" distL="0" distR="0" wp14:anchorId="1FF50015" wp14:editId="230F229A">
            <wp:extent cx="4191000" cy="4554220"/>
            <wp:effectExtent l="0" t="0" r="0" b="0"/>
            <wp:docPr id="2" name="图片 2" descr="https://img04.mysteelcdn.com/wz/uploaded/steel/2022/03/02/184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04.mysteelcdn.com/wz/uploaded/steel/2022/03/02/18490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二、2月全国混凝土行情预测——原材料价格持续走弱 混凝土行情弱势为主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1、混凝土行业需求触底反弹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根据百年建筑调研国内506家混凝土企业出货情况，春节期间本周国内500余家混凝土出货量“V”字反转，截至2月底平均产能利用率为3.76%，周环比上升1.94个百分点。总体来看，全国各地区重点项目集中复工提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振效果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明显，基建托底具有一定支撑，但截至2月24日（正月二十四）全国项目开复工率69.6%，较去年农历同期下降17.3%，劳务上工率56.5%，下降20.3%。房建项目施工进度较缓，劳务人员到位情况不及预期。分区域来看：</w:t>
      </w: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lastRenderedPageBreak/>
        <w:t>七大地区中出货量增幅最大的仍是</w:t>
      </w:r>
      <w:hyperlink r:id="rId32" w:history="1">
        <w:r w:rsidRPr="00314AE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华南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、华东地区，目前两地项目开复工率领先全国，重点项目集中提前复工，劳务人员大多数基本到位，需求恢复表现突出；</w:t>
      </w:r>
      <w:hyperlink r:id="rId33" w:history="1">
        <w:r w:rsidRPr="00314AE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华中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和</w:t>
      </w:r>
      <w:hyperlink r:id="rId34" w:history="1">
        <w:r w:rsidRPr="00314AE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华北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地区部分区域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环保管控结束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后，下游需求逐步恢复，供应端偏紧下，市场竞争较为激烈；</w:t>
      </w:r>
      <w:hyperlink r:id="rId35" w:history="1">
        <w:r w:rsidRPr="00314AE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西南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、西北、</w:t>
      </w:r>
      <w:hyperlink r:id="rId36" w:history="1">
        <w:r w:rsidRPr="00314AE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u w:val="single"/>
          </w:rPr>
          <w:t>东北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地区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出货量环比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小幅增加，受天气因素及资金回款等问题，下游项目施工进度恢复较为缓慢；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/>
          <w:noProof/>
          <w:color w:val="32323C"/>
          <w:kern w:val="0"/>
          <w:sz w:val="24"/>
          <w:szCs w:val="24"/>
        </w:rPr>
        <w:drawing>
          <wp:inline distT="0" distB="0" distL="0" distR="0" wp14:anchorId="1510EC4A" wp14:editId="195C6C01">
            <wp:extent cx="4982210" cy="2819400"/>
            <wp:effectExtent l="0" t="0" r="8890" b="0"/>
            <wp:docPr id="3" name="图片 3" descr="https://img01.mysteelcdn.com/wz/uploaded/steel/2022/03/02/184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01.mysteelcdn.com/wz/uploaded/steel/2022/03/02/18493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2、需求低迷 原材价格一路下行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2.1、需求恢复不及预期 水泥价格偏弱运行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全国水泥价格涨跌互现，截至2月28日，百年建筑网水泥价格指数528.42，月环比下降2.51%，跌幅收窄。2月全国各地除个别地区因</w:t>
      </w:r>
      <w:hyperlink r:id="rId38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熟料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价格上涨水泥报价上行外，由于需求表现低迷，全国水泥价格略显颓势。北方部分地区仍是执行秋冬季错峰停窑计划，加上冬奥会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环保管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控持续，市场需求恢复情况不佳，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供需双弱下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水泥价格整体呈现弱势维稳；南方地区水泥供应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端生产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情况向好，但下游需求恢复不及预期，主要是房地产资金向紧缺，供大于求下</w:t>
      </w: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lastRenderedPageBreak/>
        <w:t>水泥市场竞争加大，市场报价趋弱。3月北方水泥供应即将释放，供需格局转变，原材熟料价格不断上涨，加之下游复工项目开工提升，劳务到岗情形转好，预计后期水泥价格转跌为涨。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/>
          <w:noProof/>
          <w:color w:val="32323C"/>
          <w:kern w:val="0"/>
          <w:sz w:val="24"/>
          <w:szCs w:val="24"/>
        </w:rPr>
        <w:drawing>
          <wp:inline distT="0" distB="0" distL="0" distR="0" wp14:anchorId="4545915F" wp14:editId="6D512A30">
            <wp:extent cx="5515610" cy="2819400"/>
            <wp:effectExtent l="0" t="0" r="8890" b="0"/>
            <wp:docPr id="4" name="图片 4" descr="https://img05.mysteelcdn.com/wz/uploaded/steel/2022/03/02/185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05.mysteelcdn.com/wz/uploaded/steel/2022/03/02/18501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2.2、市场供需两弱 </w:t>
      </w:r>
      <w:hyperlink r:id="rId40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砂石价格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弱势运行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截至2022年2月28日，全国</w:t>
      </w:r>
      <w:hyperlink r:id="rId41" w:tgtFrame="_blank" w:history="1">
        <w:r w:rsidRPr="00314AEA">
          <w:rPr>
            <w:rFonts w:ascii="微软雅黑" w:eastAsia="微软雅黑" w:hAnsi="微软雅黑" w:cs="宋体" w:hint="eastAsia"/>
            <w:color w:val="3861AB"/>
            <w:kern w:val="0"/>
            <w:sz w:val="24"/>
            <w:szCs w:val="24"/>
            <w:u w:val="single"/>
          </w:rPr>
          <w:t>砂石</w:t>
        </w:r>
      </w:hyperlink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均价为1147元/吨，同比上涨4.27%，月环比下跌1.4%。2月份全国工程项目开工情况不佳，春节到来，大部分工地都是停工状态，陆续企业也是在正月十五或者二十之后才陆续复工。整体来看春节过后市场恢复情况较为缓慢，砂石需求表现乏力；北方市场受雨雪天气以及春节假期的影响，砂石需求降至冰点。2月砂石市场整体需求弱势，砂石价格稳中偏弱运行。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/>
          <w:noProof/>
          <w:color w:val="32323C"/>
          <w:kern w:val="0"/>
          <w:sz w:val="24"/>
          <w:szCs w:val="24"/>
        </w:rPr>
        <w:lastRenderedPageBreak/>
        <w:drawing>
          <wp:inline distT="0" distB="0" distL="0" distR="0" wp14:anchorId="18E6D616" wp14:editId="65EFE021">
            <wp:extent cx="5116830" cy="3112770"/>
            <wp:effectExtent l="0" t="0" r="7620" b="0"/>
            <wp:docPr id="5" name="图片 5" descr="https://img06.mysteelcdn.com/wz/uploaded/steel/2022/03/02/185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06.mysteelcdn.com/wz/uploaded/steel/2022/03/02/185036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b/>
          <w:bCs/>
          <w:color w:val="32323C"/>
          <w:kern w:val="0"/>
          <w:sz w:val="24"/>
          <w:szCs w:val="24"/>
        </w:rPr>
        <w:t>三、总结：</w:t>
      </w:r>
    </w:p>
    <w:p w:rsidR="00314AEA" w:rsidRPr="00314AEA" w:rsidRDefault="00314AEA" w:rsidP="00314AEA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32323C"/>
          <w:kern w:val="0"/>
          <w:sz w:val="24"/>
          <w:szCs w:val="24"/>
        </w:rPr>
      </w:pPr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综合来看，2月全国混凝土行情维持跌势，3月尤其是北方市场持续恢复，各地区大面积开工现象有望呈现常态化，全国各地发行地方政府债券规模增大，华东和华南地区房建项目资金情况有望改善，因此</w:t>
      </w:r>
      <w:proofErr w:type="gramStart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需求端会有</w:t>
      </w:r>
      <w:proofErr w:type="gramEnd"/>
      <w:r w:rsidRPr="00314AEA">
        <w:rPr>
          <w:rFonts w:ascii="微软雅黑" w:eastAsia="微软雅黑" w:hAnsi="微软雅黑" w:cs="宋体" w:hint="eastAsia"/>
          <w:color w:val="32323C"/>
          <w:kern w:val="0"/>
          <w:sz w:val="24"/>
          <w:szCs w:val="24"/>
        </w:rPr>
        <w:t>较大提升；原材水泥、砂石企业逐步恢复生产，强有力的供应储备下，混凝土企业出货量有望加速提升。</w:t>
      </w:r>
    </w:p>
    <w:p w:rsidR="00310D60" w:rsidRPr="00314AEA" w:rsidRDefault="00310D60"/>
    <w:sectPr w:rsidR="00310D60" w:rsidRPr="0031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A"/>
    <w:rsid w:val="00310D60"/>
    <w:rsid w:val="00314AEA"/>
    <w:rsid w:val="00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68ED"/>
  <w15:chartTrackingRefBased/>
  <w15:docId w15:val="{2C13FE1E-4EEB-4FF9-B9E7-1493C7CB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99">
          <w:marLeft w:val="0"/>
          <w:marRight w:val="0"/>
          <w:marTop w:val="150"/>
          <w:marBottom w:val="0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</w:div>
        <w:div w:id="1084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nghai.mysteel.com/" TargetMode="External"/><Relationship Id="rId18" Type="http://schemas.openxmlformats.org/officeDocument/2006/relationships/hyperlink" Target="https://huanan.mysteel.com/" TargetMode="External"/><Relationship Id="rId26" Type="http://schemas.openxmlformats.org/officeDocument/2006/relationships/hyperlink" Target="https://huabei.mysteel.com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dongguan.mysteel.com/" TargetMode="External"/><Relationship Id="rId34" Type="http://schemas.openxmlformats.org/officeDocument/2006/relationships/hyperlink" Target="https://huabei.mysteel.com/" TargetMode="External"/><Relationship Id="rId42" Type="http://schemas.openxmlformats.org/officeDocument/2006/relationships/image" Target="media/image5.png"/><Relationship Id="rId7" Type="http://schemas.openxmlformats.org/officeDocument/2006/relationships/hyperlink" Target="https://www.100njz.com/market/p-2155-----1001-0-------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efei.mysteel.com/" TargetMode="External"/><Relationship Id="rId20" Type="http://schemas.openxmlformats.org/officeDocument/2006/relationships/hyperlink" Target="https://guangzhou.mysteel.com/" TargetMode="External"/><Relationship Id="rId29" Type="http://schemas.openxmlformats.org/officeDocument/2006/relationships/hyperlink" Target="https://dongbei.mysteel.com/" TargetMode="External"/><Relationship Id="rId41" Type="http://schemas.openxmlformats.org/officeDocument/2006/relationships/hyperlink" Target="https://www.100njz.com/market/p-2204-----1006-0-------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00njz.com/market/p-2156-----1002-0--------1.html" TargetMode="External"/><Relationship Id="rId11" Type="http://schemas.openxmlformats.org/officeDocument/2006/relationships/hyperlink" Target="https://huadong.mysteel.com/" TargetMode="External"/><Relationship Id="rId24" Type="http://schemas.openxmlformats.org/officeDocument/2006/relationships/hyperlink" Target="https://zhengzhou.mysteel.com/" TargetMode="External"/><Relationship Id="rId32" Type="http://schemas.openxmlformats.org/officeDocument/2006/relationships/hyperlink" Target="https://huanan.mysteel.com/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www.100njz.com/market/p-2204-----1006-0--------1.html" TargetMode="External"/><Relationship Id="rId5" Type="http://schemas.openxmlformats.org/officeDocument/2006/relationships/hyperlink" Target="https://www.100njz.com/market/p-2155-----1001-0--------1.html" TargetMode="External"/><Relationship Id="rId15" Type="http://schemas.openxmlformats.org/officeDocument/2006/relationships/hyperlink" Target="https://fuzhou.mysteel.com/" TargetMode="External"/><Relationship Id="rId23" Type="http://schemas.openxmlformats.org/officeDocument/2006/relationships/hyperlink" Target="https://huazhong.mysteel.com/" TargetMode="External"/><Relationship Id="rId28" Type="http://schemas.openxmlformats.org/officeDocument/2006/relationships/hyperlink" Target="https://beijing.mysteel.com/" TargetMode="External"/><Relationship Id="rId36" Type="http://schemas.openxmlformats.org/officeDocument/2006/relationships/hyperlink" Target="https://dongbei.mysteel.com/" TargetMode="External"/><Relationship Id="rId10" Type="http://schemas.openxmlformats.org/officeDocument/2006/relationships/hyperlink" Target="https://lanzhou.mysteel.com/" TargetMode="External"/><Relationship Id="rId19" Type="http://schemas.openxmlformats.org/officeDocument/2006/relationships/hyperlink" Target="https://nanning.mysteel.com/" TargetMode="External"/><Relationship Id="rId31" Type="http://schemas.openxmlformats.org/officeDocument/2006/relationships/image" Target="media/image2.png"/><Relationship Id="rId44" Type="http://schemas.openxmlformats.org/officeDocument/2006/relationships/theme" Target="theme/theme1.xml"/><Relationship Id="rId4" Type="http://schemas.openxmlformats.org/officeDocument/2006/relationships/hyperlink" Target="https://www.100njz.com/market/p-2156-----1002-0--------1.html" TargetMode="External"/><Relationship Id="rId9" Type="http://schemas.openxmlformats.org/officeDocument/2006/relationships/hyperlink" Target="https://xibei.mysteel.com/" TargetMode="External"/><Relationship Id="rId14" Type="http://schemas.openxmlformats.org/officeDocument/2006/relationships/hyperlink" Target="https://jinan.mysteel.com/" TargetMode="External"/><Relationship Id="rId22" Type="http://schemas.openxmlformats.org/officeDocument/2006/relationships/hyperlink" Target="https://xinan.mysteel.com/" TargetMode="External"/><Relationship Id="rId27" Type="http://schemas.openxmlformats.org/officeDocument/2006/relationships/hyperlink" Target="https://tianjin.mysteel.com/" TargetMode="External"/><Relationship Id="rId30" Type="http://schemas.openxmlformats.org/officeDocument/2006/relationships/hyperlink" Target="https://shenyang.mysteel.com/" TargetMode="External"/><Relationship Id="rId35" Type="http://schemas.openxmlformats.org/officeDocument/2006/relationships/hyperlink" Target="https://xinan.mysteel.com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hyperlink" Target="https://hangzhou.mysteel.com/" TargetMode="External"/><Relationship Id="rId17" Type="http://schemas.openxmlformats.org/officeDocument/2006/relationships/hyperlink" Target="https://qingdao.mysteel.com/" TargetMode="External"/><Relationship Id="rId25" Type="http://schemas.openxmlformats.org/officeDocument/2006/relationships/hyperlink" Target="https://wuhan.mysteel.com/" TargetMode="External"/><Relationship Id="rId33" Type="http://schemas.openxmlformats.org/officeDocument/2006/relationships/hyperlink" Target="https://huazhong.mysteel.com/" TargetMode="External"/><Relationship Id="rId38" Type="http://schemas.openxmlformats.org/officeDocument/2006/relationships/hyperlink" Target="https://www.100njz.com/market/p-2231-----1007-0--------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王军的电脑</dc:creator>
  <cp:keywords/>
  <dc:description/>
  <cp:lastModifiedBy>王军的电脑</cp:lastModifiedBy>
  <cp:revision>3</cp:revision>
  <dcterms:created xsi:type="dcterms:W3CDTF">2022-03-03T02:06:00Z</dcterms:created>
  <dcterms:modified xsi:type="dcterms:W3CDTF">2022-03-03T07:50:00Z</dcterms:modified>
</cp:coreProperties>
</file>