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2021年新增减税降费1.1万亿元　利好中小微</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和制造企业</w:t>
      </w:r>
    </w:p>
    <w:p>
      <w:pPr>
        <w:rPr>
          <w:rFonts w:hint="default" w:ascii="Times New Roman" w:hAnsi="Times New Roman" w:cs="Times New Roman"/>
        </w:rPr>
      </w:pPr>
      <w:r>
        <w:rPr>
          <w:rFonts w:hint="default" w:ascii="Times New Roman" w:hAnsi="Times New Roman" w:cs="Times New Roman"/>
        </w:rPr>
        <w:t>国家税务总局1月26日发布数据显示，2021年，全年新增减税降费约1.1万亿元，为制造业中小微企业办理缓缴税费2162亿元，为煤电和供热企业办理“减、退</w:t>
      </w:r>
      <w:bookmarkStart w:id="0" w:name="_GoBack"/>
      <w:bookmarkEnd w:id="0"/>
      <w:r>
        <w:rPr>
          <w:rFonts w:hint="default" w:ascii="Times New Roman" w:hAnsi="Times New Roman" w:cs="Times New Roman"/>
        </w:rPr>
        <w:t>、缓”税271亿元。</w:t>
      </w:r>
    </w:p>
    <w:p>
      <w:pPr>
        <w:rPr>
          <w:rFonts w:hint="default" w:ascii="Times New Roman" w:hAnsi="Times New Roman" w:cs="Times New Roman"/>
        </w:rPr>
      </w:pPr>
      <w:r>
        <w:rPr>
          <w:rFonts w:hint="default" w:ascii="Times New Roman" w:hAnsi="Times New Roman" w:cs="Times New Roman"/>
        </w:rPr>
        <w:t>　　翻开2021年减税“账本”，中小微企业、科技创新、实体经济发展成为关键词。一套税费优惠政策“组合拳”，既有减税降费政策又有缓税缓费措施，既助力稳住经济增长又着力增强企业发展后劲。国务院第八次大督查结果显示减税降费落实到位、成效明显。</w:t>
      </w:r>
    </w:p>
    <w:p>
      <w:pPr>
        <w:rPr>
          <w:rFonts w:hint="default" w:ascii="Times New Roman" w:hAnsi="Times New Roman" w:cs="Times New Roman"/>
        </w:rPr>
      </w:pPr>
      <w:r>
        <w:rPr>
          <w:rFonts w:hint="default" w:ascii="Times New Roman" w:hAnsi="Times New Roman" w:cs="Times New Roman"/>
        </w:rPr>
        <w:t>　　国家税务总局收入规划核算司司长蔡自力在当天国新办举行的发布会上表示，2021年减税取得的积极效果可以概括为“四个促进”：一是加大小微企业税费优惠力度，促进了市场主体活力提升。2021年，支持小微企业发展税收优惠政策新增减税2951亿元。税收数据显示，2021年，全国小微企业每百元销售收入缴纳税收同比下降12.4%。</w:t>
      </w:r>
    </w:p>
    <w:p>
      <w:pPr>
        <w:rPr>
          <w:rFonts w:hint="default" w:ascii="Times New Roman" w:hAnsi="Times New Roman" w:cs="Times New Roman"/>
        </w:rPr>
      </w:pPr>
      <w:r>
        <w:rPr>
          <w:rFonts w:hint="default" w:ascii="Times New Roman" w:hAnsi="Times New Roman" w:cs="Times New Roman"/>
        </w:rPr>
        <w:t>　　二是允许企业提前享受研发费用加计扣除政策，促进了创新发展。企业提前享受研发费用加计扣除政策减免税额3333亿元，进一步降低了企业研发成本、增加了现金流，增强了企业创新动能。税收数据显示，2021年全国重点税源制造业企业研发投入同比增长22.6%，企业创新投入持续加大。</w:t>
      </w:r>
    </w:p>
    <w:p>
      <w:pPr>
        <w:rPr>
          <w:rFonts w:hint="default" w:ascii="Times New Roman" w:hAnsi="Times New Roman" w:cs="Times New Roman"/>
        </w:rPr>
      </w:pPr>
      <w:r>
        <w:rPr>
          <w:rFonts w:hint="default" w:ascii="Times New Roman" w:hAnsi="Times New Roman" w:cs="Times New Roman"/>
        </w:rPr>
        <w:t>　　三是落实落细增值税增量留抵退税和企业购买设备器具一次性税前扣除政策，促进了制造业发展。2021年，税务部门累计为3.1万户制造业企业办理留抵退税1322亿元；实施企业购买不超过500万元的设备器具一次性企业所得税税前扣除政策，新增减税781亿元，进一步缓解了制造业企业的资金压力。</w:t>
      </w:r>
    </w:p>
    <w:p>
      <w:pPr>
        <w:rPr>
          <w:rFonts w:hint="default" w:ascii="Times New Roman" w:hAnsi="Times New Roman" w:cs="Times New Roman"/>
        </w:rPr>
      </w:pPr>
      <w:r>
        <w:rPr>
          <w:rFonts w:hint="default" w:ascii="Times New Roman" w:hAnsi="Times New Roman" w:cs="Times New Roman"/>
        </w:rPr>
        <w:t>　　四是落实社保费降费政策，促进了就业稳定。2021年，税务部门会同人社部门积极落实阶段性降低失业保险、工伤保险费率政策，全年新增降费1504亿元，有效减轻了企业社保缴费负担，对稳就业、稳企业起到了重要支撑作用。</w:t>
      </w:r>
    </w:p>
    <w:p>
      <w:pPr>
        <w:rPr>
          <w:rFonts w:hint="default" w:ascii="Times New Roman" w:hAnsi="Times New Roman" w:cs="Times New Roman"/>
        </w:rPr>
      </w:pPr>
      <w:r>
        <w:rPr>
          <w:rFonts w:hint="default" w:ascii="Times New Roman" w:hAnsi="Times New Roman" w:cs="Times New Roman"/>
        </w:rPr>
        <w:t>　　蔡自力表示，2022年，党中央、国务院部署实施组合式、规模性减税降费政策，重点聚焦支持中小微企业、个体工商户、制造业等发展，帮助困难行业渡过难关。税务部门将采取一系列有效措施确保政策落实落细，为服务“六稳”“六保”大局、稳定宏观经济大盘贡献税务力量。</w:t>
      </w:r>
    </w:p>
    <w:p>
      <w:pPr>
        <w:rPr>
          <w:rFonts w:hint="default" w:ascii="Times New Roman" w:hAnsi="Times New Roman" w:cs="Times New Roman"/>
        </w:rPr>
      </w:pPr>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5C5BFF"/>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2022-02-24T08:46:47Z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