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jc w:val="center"/>
        <w:textAlignment w:val="auto"/>
        <w:rPr>
          <w:rFonts w:hint="default" w:ascii="Times New Roman" w:hAnsi="Times New Roman" w:eastAsia="黑体" w:cs="Times New Roman"/>
          <w:b/>
          <w:bCs/>
          <w:color w:val="auto"/>
          <w:sz w:val="36"/>
          <w:szCs w:val="36"/>
        </w:rPr>
      </w:pPr>
      <w:bookmarkStart w:id="0" w:name="_GoBack"/>
      <w:r>
        <w:rPr>
          <w:rFonts w:hint="default" w:ascii="Times New Roman" w:hAnsi="Times New Roman" w:eastAsia="黑体" w:cs="Times New Roman"/>
          <w:b/>
          <w:bCs/>
          <w:i w:val="0"/>
          <w:iCs w:val="0"/>
          <w:caps w:val="0"/>
          <w:color w:val="auto"/>
          <w:spacing w:val="0"/>
          <w:sz w:val="36"/>
          <w:szCs w:val="36"/>
          <w:bdr w:val="none" w:color="auto" w:sz="0" w:space="0"/>
          <w:shd w:val="clear" w:fill="FFFFFF"/>
        </w:rPr>
        <w:t>2021年三季度四川省人力资源市场供求情况分析报告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编制说明：本报告数据由全省各级公共就业服务机构和开展了招聘业务的省本级、成都、宜宾、泸州、乐山、绵阳、自贡、德阳、雅安、资阳、内江、攀枝花等公共人才服务机构提供。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420"/>
        <w:jc w:val="both"/>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b/>
          <w:bCs/>
          <w:i w:val="0"/>
          <w:iCs w:val="0"/>
          <w:caps w:val="0"/>
          <w:color w:val="auto"/>
          <w:spacing w:val="0"/>
          <w:sz w:val="32"/>
          <w:szCs w:val="32"/>
          <w:bdr w:val="none" w:color="auto" w:sz="0" w:space="0"/>
          <w:shd w:val="clear" w:fill="FFFFFF"/>
        </w:rPr>
        <w:t>一、供求总体情况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从供求总体情况看（见表1），2021年三季度省本级及21个市（州）公共人力资源市场发布岗位71.99万个，同比增加9.23万个，增幅为14.71%，环比减少16.4万个，降幅为18.56%；登记求职52.27万人，同比增加9.75万人，增幅为22.94%，环比减少10.04万人，降幅为16.12%。求人倍率（岗位需求数/求职人数）为1.38，同比下降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本季度，受全省经济持续恢复、疫情有效防控、就业优先政策持续显效等影响，岗位需求人数和求职人数均同比大幅增加，因人力资源市场季节性因素影响，本季度人力资源市场供求总量环比季节性回落，人力资源市场供求总体保持平稳。</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49"/>
        <w:gridCol w:w="2158"/>
        <w:gridCol w:w="2246"/>
        <w:gridCol w:w="2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000" w:type="pct"/>
            <w:gridSpan w:val="4"/>
            <w:tcBorders>
              <w:top w:val="nil"/>
              <w:left w:val="nil"/>
              <w:bottom w:val="nil"/>
              <w:right w:val="nil"/>
            </w:tcBorders>
            <w:shd w:val="clear"/>
            <w:noWrap/>
            <w:tcMar>
              <w:top w:w="0" w:type="dxa"/>
              <w:left w:w="108" w:type="dxa"/>
              <w:bottom w:w="0" w:type="dxa"/>
              <w:right w:w="108"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bdr w:val="none" w:color="auto" w:sz="0" w:space="0"/>
                <w:lang w:val="en-US" w:eastAsia="zh-CN" w:bidi="ar"/>
              </w:rPr>
              <w:t>表1：供求总体情况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 w:hRule="atLeast"/>
        </w:trPr>
        <w:tc>
          <w:tcPr>
            <w:tcW w:w="5000" w:type="pct"/>
            <w:gridSpan w:val="4"/>
            <w:tcBorders>
              <w:top w:val="nil"/>
              <w:left w:val="nil"/>
              <w:bottom w:val="single" w:color="auto" w:sz="8" w:space="0"/>
              <w:right w:val="nil"/>
            </w:tcBorders>
            <w:shd w:val="clear"/>
            <w:noWrap/>
            <w:tcMar>
              <w:top w:w="0" w:type="dxa"/>
              <w:left w:w="108" w:type="dxa"/>
              <w:bottom w:w="0" w:type="dxa"/>
              <w:right w:w="108"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3" w:hRule="atLeast"/>
        </w:trPr>
        <w:tc>
          <w:tcPr>
            <w:tcW w:w="1356"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季 度　</w:t>
            </w:r>
          </w:p>
        </w:tc>
        <w:tc>
          <w:tcPr>
            <w:tcW w:w="110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岗位需求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（万个）</w:t>
            </w:r>
          </w:p>
        </w:tc>
        <w:tc>
          <w:tcPr>
            <w:tcW w:w="115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求职人数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（万人）</w:t>
            </w:r>
          </w:p>
        </w:tc>
        <w:tc>
          <w:tcPr>
            <w:tcW w:w="138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求人倍率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356"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2021年三季度</w:t>
            </w:r>
          </w:p>
        </w:tc>
        <w:tc>
          <w:tcPr>
            <w:tcW w:w="1105"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71.99</w:t>
            </w:r>
          </w:p>
        </w:tc>
        <w:tc>
          <w:tcPr>
            <w:tcW w:w="1150"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52.27</w:t>
            </w:r>
          </w:p>
        </w:tc>
        <w:tc>
          <w:tcPr>
            <w:tcW w:w="1386"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356"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2021年二季度</w:t>
            </w:r>
          </w:p>
        </w:tc>
        <w:tc>
          <w:tcPr>
            <w:tcW w:w="1105"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88.40</w:t>
            </w:r>
          </w:p>
        </w:tc>
        <w:tc>
          <w:tcPr>
            <w:tcW w:w="1150"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62.31</w:t>
            </w:r>
          </w:p>
        </w:tc>
        <w:tc>
          <w:tcPr>
            <w:tcW w:w="1386"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trPr>
        <w:tc>
          <w:tcPr>
            <w:tcW w:w="1356"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2021年一季度</w:t>
            </w:r>
          </w:p>
        </w:tc>
        <w:tc>
          <w:tcPr>
            <w:tcW w:w="1105"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93.97</w:t>
            </w:r>
          </w:p>
        </w:tc>
        <w:tc>
          <w:tcPr>
            <w:tcW w:w="1150"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63.41</w:t>
            </w:r>
          </w:p>
        </w:tc>
        <w:tc>
          <w:tcPr>
            <w:tcW w:w="1386"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trPr>
        <w:tc>
          <w:tcPr>
            <w:tcW w:w="1356"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2020年四季度</w:t>
            </w:r>
          </w:p>
        </w:tc>
        <w:tc>
          <w:tcPr>
            <w:tcW w:w="1105"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73.62</w:t>
            </w:r>
          </w:p>
        </w:tc>
        <w:tc>
          <w:tcPr>
            <w:tcW w:w="1150"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46.14</w:t>
            </w:r>
          </w:p>
        </w:tc>
        <w:tc>
          <w:tcPr>
            <w:tcW w:w="1386"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trPr>
        <w:tc>
          <w:tcPr>
            <w:tcW w:w="1356"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2020年三季度</w:t>
            </w:r>
          </w:p>
        </w:tc>
        <w:tc>
          <w:tcPr>
            <w:tcW w:w="1105"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62.76</w:t>
            </w:r>
          </w:p>
        </w:tc>
        <w:tc>
          <w:tcPr>
            <w:tcW w:w="1150"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42.52</w:t>
            </w:r>
          </w:p>
        </w:tc>
        <w:tc>
          <w:tcPr>
            <w:tcW w:w="1386"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1.48</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420"/>
        <w:jc w:val="both"/>
        <w:textAlignment w:val="auto"/>
        <w:rPr>
          <w:rFonts w:hint="default" w:ascii="Times New Roman" w:hAnsi="Times New Roman" w:eastAsia="宋体" w:cs="Times New Roman"/>
          <w:b/>
          <w:bCs/>
          <w:i w:val="0"/>
          <w:iCs w:val="0"/>
          <w:caps w:val="0"/>
          <w:color w:val="auto"/>
          <w:spacing w:val="0"/>
          <w:sz w:val="32"/>
          <w:szCs w:val="32"/>
          <w:shd w:val="clear" w:fill="FFFFFF"/>
        </w:rPr>
      </w:pPr>
      <w:r>
        <w:rPr>
          <w:rFonts w:hint="default" w:ascii="Times New Roman" w:hAnsi="Times New Roman" w:eastAsia="宋体" w:cs="Times New Roman"/>
          <w:b/>
          <w:bCs/>
          <w:i w:val="0"/>
          <w:iCs w:val="0"/>
          <w:caps w:val="0"/>
          <w:color w:val="auto"/>
          <w:spacing w:val="0"/>
          <w:sz w:val="32"/>
          <w:szCs w:val="32"/>
          <w:shd w:val="clear" w:fill="FFFFFF"/>
        </w:rPr>
        <w:t>二、用人单位岗位需求情况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一）从产业需求看（见表2），第一、二、三产业岗位需求比重分别为3.07%、46.07%、50.86%，第二、三产业是吸纳人力资源就业的主要渠道。因工业生产稳步向好，第二产业用工需求同比增长8.05%，其中制造业岗位需求最旺，占比同比增长6.29%。服务业保持较快增长，就业容量相对更大，第三产业岗位需求比重占人力资源市场需求总量的50%以上，但较去年同期相比，第三产业需求占比有所下降，岗位需求向第二产业转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从行业看，第二产业中制造业用工需求占比最高，达36.11%，建筑业、电力、热力、燃气及水生产和供应业岗位需求占比同比有小幅增长；第三产业中批发和零售业、住宿和餐饮业岗位需求占比分别达8.92%、8.30%，受益于疫情防控形势稳定，旅游、餐饮、住宿等聚集性、接触型服务业恢复回暖，住宿和餐饮业岗位需求环比增长0.62个百分点，居民服务、修理和其他服务业、教育、房地产业用工意愿下降明显，岗位需求比重分别同比下降2.94个、1.35个、0.77个百分点。</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jc w:val="center"/>
        </w:trPr>
        <w:tc>
          <w:tcPr>
            <w:tcW w:w="5000" w:type="pct"/>
            <w:tcBorders>
              <w:top w:val="nil"/>
              <w:left w:val="nil"/>
              <w:bottom w:val="nil"/>
              <w:right w:val="nil"/>
            </w:tcBorders>
            <w:shd w:val="clear"/>
            <w:noWrap/>
            <w:tcMar>
              <w:top w:w="0" w:type="dxa"/>
              <w:left w:w="108" w:type="dxa"/>
              <w:bottom w:w="0" w:type="dxa"/>
              <w:right w:w="108"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kern w:val="0"/>
                <w:sz w:val="28"/>
                <w:szCs w:val="28"/>
                <w:bdr w:val="none" w:color="auto" w:sz="0" w:space="0"/>
                <w:lang w:val="en-US" w:eastAsia="zh-CN" w:bidi="ar"/>
              </w:rPr>
              <w:t>表</w:t>
            </w:r>
            <w:r>
              <w:rPr>
                <w:rFonts w:hint="default" w:ascii="Times New Roman" w:hAnsi="Times New Roman" w:eastAsia="宋体" w:cs="Times New Roman"/>
                <w:b/>
                <w:bCs/>
                <w:color w:val="auto"/>
                <w:kern w:val="0"/>
                <w:sz w:val="28"/>
                <w:szCs w:val="28"/>
                <w:bdr w:val="none" w:color="auto" w:sz="0" w:space="0"/>
                <w:lang w:val="en-US" w:eastAsia="zh-CN" w:bidi="ar"/>
              </w:rPr>
              <w:t>2</w:t>
            </w:r>
            <w:r>
              <w:rPr>
                <w:rFonts w:hint="default" w:ascii="Times New Roman" w:hAnsi="Times New Roman" w:eastAsia="宋体" w:cs="Times New Roman"/>
                <w:b/>
                <w:bCs/>
                <w:color w:val="auto"/>
                <w:kern w:val="0"/>
                <w:sz w:val="28"/>
                <w:szCs w:val="28"/>
                <w:bdr w:val="none" w:color="auto" w:sz="0" w:space="0"/>
                <w:lang w:val="en-US" w:eastAsia="zh-CN" w:bidi="ar"/>
              </w:rPr>
              <w:t>：产业、行业需求情况</w:t>
            </w:r>
          </w:p>
          <w:tbl>
            <w:tblPr>
              <w:tblW w:w="895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00"/>
              <w:gridCol w:w="3572"/>
              <w:gridCol w:w="936"/>
              <w:gridCol w:w="1012"/>
              <w:gridCol w:w="1075"/>
              <w:gridCol w:w="10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1300" w:type="dxa"/>
                  <w:vMerge w:val="restar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产业</w:t>
                  </w:r>
                </w:p>
              </w:tc>
              <w:tc>
                <w:tcPr>
                  <w:tcW w:w="3572" w:type="dxa"/>
                  <w:vMerge w:val="restar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行业</w:t>
                  </w:r>
                </w:p>
              </w:tc>
              <w:tc>
                <w:tcPr>
                  <w:tcW w:w="936" w:type="dxa"/>
                  <w:vMerge w:val="restart"/>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岗位需求数（个）</w:t>
                  </w:r>
                </w:p>
              </w:tc>
              <w:tc>
                <w:tcPr>
                  <w:tcW w:w="3144" w:type="dxa"/>
                  <w:gridSpan w:val="3"/>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所占比重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1300" w:type="dxa"/>
                  <w:vMerge w:val="continue"/>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936" w:type="dxa"/>
                  <w:vMerge w:val="continue"/>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101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本季度（%）</w:t>
                  </w:r>
                </w:p>
              </w:tc>
              <w:tc>
                <w:tcPr>
                  <w:tcW w:w="107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同比（百分点）</w:t>
                  </w:r>
                </w:p>
              </w:tc>
              <w:tc>
                <w:tcPr>
                  <w:tcW w:w="105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环比（百分点）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第一产业</w:t>
                  </w: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农、林、牧、渔业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22121</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3.07</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0.49</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第二产业</w:t>
                  </w: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采矿业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10775</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1.50</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0.16</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制造业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259943</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36.11</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6.29</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电力、热力、燃气及水生产和供应业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18390</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2.55</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0.81</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建筑业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42561</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5.91</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0.79</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第三产业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 </w:t>
                  </w: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批发和零售业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64233</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8.92</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-0.18</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交通运输、仓储和邮政业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29560</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4.11</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-0.18</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住宿和餐饮业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59770</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8.30</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-1.01</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信息传输、软件和信息技术服务业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28535</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3.96</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0.12</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金融业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14025</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1.95</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-0.26</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房地产业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33511</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4.65</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-0.77</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租赁和商务服务业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31287</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4.35</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-0.73</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科学研究和技术服务业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9548</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1.33</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0.00</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水利、环境和公共设施管理业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2974</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0.41</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-0.19</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居民服务、修理和其他服务业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54185</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7.53</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-2.94</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教育</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17865</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2.48</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-1.35</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卫生和社会工作</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7429</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1.03</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-0.40</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文化、体育和娱乐业</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10199</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1.42</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-0.42</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公共管理、社会保障和社会组织</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2982</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0.41</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-0.22</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国际组织</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61</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0.01</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0.00</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300"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c>
                <w:tcPr>
                  <w:tcW w:w="357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合计</w:t>
                  </w:r>
                </w:p>
              </w:tc>
              <w:tc>
                <w:tcPr>
                  <w:tcW w:w="9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719954</w:t>
                  </w:r>
                </w:p>
              </w:tc>
              <w:tc>
                <w:tcPr>
                  <w:tcW w:w="10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100.00</w:t>
                  </w:r>
                </w:p>
              </w:tc>
              <w:tc>
                <w:tcPr>
                  <w:tcW w:w="1075"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w:t>
                  </w:r>
                </w:p>
              </w:tc>
              <w:tc>
                <w:tcPr>
                  <w:tcW w:w="105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w:t>
                  </w:r>
                </w:p>
              </w:tc>
            </w:tr>
          </w:tbl>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Times New Roman" w:hAnsi="Times New Roman" w:eastAsia="宋体" w:cs="Times New Roman"/>
                <w:color w:val="auto"/>
                <w:sz w:val="28"/>
                <w:szCs w:val="28"/>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rPr>
          <w:rFonts w:hint="default" w:ascii="Times New Roman" w:hAnsi="Times New Roman" w:eastAsia="宋体" w:cs="Times New Roman"/>
          <w:i w:val="0"/>
          <w:iCs w:val="0"/>
          <w:caps w:val="0"/>
          <w:color w:val="auto"/>
          <w:spacing w:val="0"/>
          <w:sz w:val="28"/>
          <w:szCs w:val="28"/>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二）从专业需求看，本季度用人需求排名前五的专业分别为：计算机科学与技术类、电子电气类、材料类、土建类、机械类。机械类专业岗位需求增幅明显，分别同比、环比增长2.01%、1.99%。工商管理类、材料类、土建类专业用人需求同比增加，医学类、教育学类、水利类岗位需求有所下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三）从职称和技能等级看(见表3)，用人单位对职称或技能等级提出明确要求的岗位需求比重为13.08%（其中：技能等级占7.04%，职称占6.04%），同比有所下降，其中要求初级技能的岗位需求比重下降1.7个百分点，要求中级专业技术职务的岗位需求比重小幅增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表3：技能等级、职称供需情况</w:t>
      </w:r>
    </w:p>
    <w:tbl>
      <w:tblPr>
        <w:tblW w:w="9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69"/>
        <w:gridCol w:w="993"/>
        <w:gridCol w:w="1205"/>
        <w:gridCol w:w="968"/>
        <w:gridCol w:w="1200"/>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99" w:hRule="atLeast"/>
          <w:jc w:val="center"/>
        </w:trPr>
        <w:tc>
          <w:tcPr>
            <w:tcW w:w="396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技能等级、职称</w:t>
            </w:r>
          </w:p>
        </w:tc>
        <w:tc>
          <w:tcPr>
            <w:tcW w:w="99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需求人数</w:t>
            </w:r>
          </w:p>
        </w:tc>
        <w:tc>
          <w:tcPr>
            <w:tcW w:w="12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需求比重（%）</w:t>
            </w:r>
          </w:p>
        </w:tc>
        <w:tc>
          <w:tcPr>
            <w:tcW w:w="9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求职人数</w:t>
            </w:r>
          </w:p>
        </w:tc>
        <w:tc>
          <w:tcPr>
            <w:tcW w:w="12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求职比重（%）</w:t>
            </w:r>
          </w:p>
        </w:tc>
        <w:tc>
          <w:tcPr>
            <w:tcW w:w="82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求人倍率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职业资格五级（技能等级：初级）</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33509</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4.65%</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24105</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4.61</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职业资格四级（技能等级：中级）</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10818</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1.50%</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8470</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1.62</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职业资格三级（技能等级：高级）</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3266</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0.45%</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2365</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0.45</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职业资格二级（技能等级：技师）</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2365</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0.33%</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1465</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0.28</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职业资格一级（技能等级：高级技师）</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738</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0.10%</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230</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0.04</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初级专业技术职务（职称）</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28766</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4.00%</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34313</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6.56</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中级专业技术职务（职称）</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11582</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1.61%</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11722</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2.24</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高级专业技术职务（职称）</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3161</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0.44%</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5048</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0.97</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无技能等级或职称</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bottom"/>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11893</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bottom"/>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1.65%</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434848</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83.19</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无要求</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613856</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85.26%</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bottom"/>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150</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bottom"/>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0.03</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9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bdr w:val="none" w:color="auto" w:sz="0" w:space="0"/>
                <w:lang w:val="en-US" w:eastAsia="zh-CN" w:bidi="ar"/>
              </w:rPr>
              <w:t>合 计</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719954</w:t>
            </w:r>
          </w:p>
        </w:tc>
        <w:tc>
          <w:tcPr>
            <w:tcW w:w="12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100.00%</w:t>
            </w:r>
          </w:p>
        </w:tc>
        <w:tc>
          <w:tcPr>
            <w:tcW w:w="9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522716</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bdr w:val="none" w:color="auto" w:sz="0" w:space="0"/>
                <w:lang w:val="en-US" w:eastAsia="zh-CN" w:bidi="ar"/>
              </w:rPr>
              <w:t>100.00%</w:t>
            </w:r>
          </w:p>
        </w:tc>
        <w:tc>
          <w:tcPr>
            <w:tcW w:w="8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after="0" w:line="360" w:lineRule="auto"/>
              <w:ind w:right="0"/>
              <w:rPr>
                <w:rFonts w:hint="default" w:ascii="Times New Roman" w:hAnsi="Times New Roman" w:cs="Times New Roman" w:eastAsiaTheme="minorEastAsia"/>
                <w:color w:val="auto"/>
                <w:sz w:val="24"/>
                <w:szCs w:val="24"/>
              </w:rPr>
            </w:pP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eastAsia="宋体" w:cs="Times New Roman"/>
          <w:color w:val="auto"/>
          <w:sz w:val="28"/>
          <w:szCs w:val="28"/>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b/>
          <w:bCs/>
          <w:i w:val="0"/>
          <w:iCs w:val="0"/>
          <w:caps w:val="0"/>
          <w:color w:val="auto"/>
          <w:spacing w:val="0"/>
          <w:sz w:val="32"/>
          <w:szCs w:val="32"/>
          <w:shd w:val="clear" w:fill="FFFFFF"/>
        </w:rPr>
        <w:t>三、求职者情况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（一）从求职人员类别看，求职人员主要为农村人员、其他失业人员、就业转失业人员，分别占36.35%、23.81%、13.86%，其中，就业转失业人员求职人数同比下降30.73%，劳动者换工作趋于谨慎。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二）从学历分布看(见表4)，大学及大专学历求职者最多，分别占求职总数的29.34%、28.44%，其中，大学学历求职者数量涨幅最多，同比增长8.99个百分点。高中、初中及以下学历求职者数量下降明显，求职比重分别同比下降6.58%、3.62%，硕士及以上学历求职比重同比增长0.87%，人力资源市场中求职者学历层次有所提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表4：求职者学历情况</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27"/>
        <w:gridCol w:w="2152"/>
        <w:gridCol w:w="2576"/>
        <w:gridCol w:w="1594"/>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1038"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学历</w:t>
            </w:r>
          </w:p>
        </w:tc>
        <w:tc>
          <w:tcPr>
            <w:tcW w:w="1102"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求职人数(人)</w:t>
            </w:r>
          </w:p>
        </w:tc>
        <w:tc>
          <w:tcPr>
            <w:tcW w:w="1319"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求职比重(%)</w:t>
            </w:r>
          </w:p>
        </w:tc>
        <w:tc>
          <w:tcPr>
            <w:tcW w:w="816"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同比（%）</w:t>
            </w:r>
          </w:p>
        </w:tc>
        <w:tc>
          <w:tcPr>
            <w:tcW w:w="723"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环比（%）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103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初中及以下</w:t>
            </w:r>
          </w:p>
        </w:tc>
        <w:tc>
          <w:tcPr>
            <w:tcW w:w="11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118077</w:t>
            </w:r>
          </w:p>
        </w:tc>
        <w:tc>
          <w:tcPr>
            <w:tcW w:w="1319"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22.59%</w:t>
            </w:r>
          </w:p>
        </w:tc>
        <w:tc>
          <w:tcPr>
            <w:tcW w:w="81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-3.62%</w:t>
            </w:r>
          </w:p>
        </w:tc>
        <w:tc>
          <w:tcPr>
            <w:tcW w:w="723"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03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高中</w:t>
            </w:r>
          </w:p>
        </w:tc>
        <w:tc>
          <w:tcPr>
            <w:tcW w:w="11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90747</w:t>
            </w:r>
          </w:p>
        </w:tc>
        <w:tc>
          <w:tcPr>
            <w:tcW w:w="1319"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17.36%</w:t>
            </w:r>
          </w:p>
        </w:tc>
        <w:tc>
          <w:tcPr>
            <w:tcW w:w="81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-6.58%</w:t>
            </w:r>
          </w:p>
        </w:tc>
        <w:tc>
          <w:tcPr>
            <w:tcW w:w="723"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03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大专</w:t>
            </w:r>
          </w:p>
        </w:tc>
        <w:tc>
          <w:tcPr>
            <w:tcW w:w="11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148635</w:t>
            </w:r>
          </w:p>
        </w:tc>
        <w:tc>
          <w:tcPr>
            <w:tcW w:w="1319"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28.44%</w:t>
            </w:r>
          </w:p>
        </w:tc>
        <w:tc>
          <w:tcPr>
            <w:tcW w:w="81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0.35%</w:t>
            </w:r>
          </w:p>
        </w:tc>
        <w:tc>
          <w:tcPr>
            <w:tcW w:w="723"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03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大学</w:t>
            </w:r>
          </w:p>
        </w:tc>
        <w:tc>
          <w:tcPr>
            <w:tcW w:w="11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153355</w:t>
            </w:r>
          </w:p>
        </w:tc>
        <w:tc>
          <w:tcPr>
            <w:tcW w:w="1319"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29.34%</w:t>
            </w:r>
          </w:p>
        </w:tc>
        <w:tc>
          <w:tcPr>
            <w:tcW w:w="81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8.99%</w:t>
            </w:r>
          </w:p>
        </w:tc>
        <w:tc>
          <w:tcPr>
            <w:tcW w:w="723"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jc w:val="center"/>
        </w:trPr>
        <w:tc>
          <w:tcPr>
            <w:tcW w:w="103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硕士及以上</w:t>
            </w:r>
          </w:p>
        </w:tc>
        <w:tc>
          <w:tcPr>
            <w:tcW w:w="1102" w:type="pc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11902</w:t>
            </w:r>
          </w:p>
        </w:tc>
        <w:tc>
          <w:tcPr>
            <w:tcW w:w="1319"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2.28%</w:t>
            </w:r>
          </w:p>
        </w:tc>
        <w:tc>
          <w:tcPr>
            <w:tcW w:w="81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0.87%</w:t>
            </w:r>
          </w:p>
        </w:tc>
        <w:tc>
          <w:tcPr>
            <w:tcW w:w="723"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03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合计</w:t>
            </w:r>
          </w:p>
        </w:tc>
        <w:tc>
          <w:tcPr>
            <w:tcW w:w="1102"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522716</w:t>
            </w:r>
          </w:p>
        </w:tc>
        <w:tc>
          <w:tcPr>
            <w:tcW w:w="1319"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100.00%</w:t>
            </w:r>
          </w:p>
        </w:tc>
        <w:tc>
          <w:tcPr>
            <w:tcW w:w="81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w:t>
            </w:r>
          </w:p>
        </w:tc>
        <w:tc>
          <w:tcPr>
            <w:tcW w:w="723"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olor w:val="auto"/>
                <w:kern w:val="0"/>
                <w:sz w:val="24"/>
                <w:szCs w:val="24"/>
                <w:bdr w:val="none" w:color="auto" w:sz="0" w:space="0"/>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rPr>
          <w:rFonts w:hint="default" w:ascii="Times New Roman" w:hAnsi="Times New Roman" w:eastAsia="宋体" w:cs="Times New Roman"/>
          <w:color w:val="auto"/>
          <w:sz w:val="28"/>
          <w:szCs w:val="28"/>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（三）从所学专业分布看，求职人数排名前五的专业分别是：电子电气类、计算机科学与技术类、材料类、土建类、工商管理类，以上专业求职人数所占比重分别为10.39%、10.23%、6.53%、6.45%、3.83%。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四）从职称和技能等级看(见表3)，本季度，拥有职称或技能等级的求职者仅占求职总数的16.78%，拥有职称的求职者比重同比增长1.52%，拥有技能等级的求职者比重同比下降3.17%，专业技术人才求职者比重呈上升态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420"/>
        <w:jc w:val="both"/>
        <w:textAlignment w:val="auto"/>
        <w:rPr>
          <w:rFonts w:hint="default" w:ascii="Times New Roman" w:hAnsi="Times New Roman" w:eastAsia="宋体" w:cs="Times New Roman"/>
          <w:b/>
          <w:bCs/>
          <w:i w:val="0"/>
          <w:iCs w:val="0"/>
          <w:caps w:val="0"/>
          <w:color w:val="auto"/>
          <w:spacing w:val="0"/>
          <w:sz w:val="32"/>
          <w:szCs w:val="32"/>
          <w:shd w:val="clear" w:fill="FFFFFF"/>
        </w:rPr>
      </w:pPr>
      <w:r>
        <w:rPr>
          <w:rFonts w:hint="default" w:ascii="Times New Roman" w:hAnsi="Times New Roman" w:eastAsia="宋体" w:cs="Times New Roman"/>
          <w:b/>
          <w:bCs/>
          <w:i w:val="0"/>
          <w:iCs w:val="0"/>
          <w:caps w:val="0"/>
          <w:color w:val="auto"/>
          <w:spacing w:val="0"/>
          <w:sz w:val="32"/>
          <w:szCs w:val="32"/>
          <w:shd w:val="clear" w:fill="FFFFFF"/>
        </w:rPr>
        <w:t>四、供求匹配情况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用求人倍率指标衡量求职者与用人单位岗位需求匹配程度，根据数据显示：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一）从职称或技能等级分类看，人力资源市场结构性矛盾依然存在。本季度，无技术等级或职称的求人倍率为1.2，有技术等级的岗位求人倍率均高于1.8，其中高级技师求人倍率最高，达4.38。技能人才的求人倍率普遍高于专业技术人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二）从专业分类看，供求总量较大的专业求人倍率基本保持在1左右，供求基本平衡。本季度，人力资源市场中供求总量排名前五的专业分别是：电子电气类、计算机科学与技术类、材料类、土建类、工商管理类，求人倍率分别为：1.01、1.10、1.07、0.99、1.08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（三）从年龄分组看，用人单位更倾向于招聘25-34岁求职者。本季度，各年龄阶段求人倍率基本保持在1左右，其中25-34岁的求人倍率为1.56，相对较高。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（四）从文化程度分组看，其他学历求人倍率均高于大学学历。本季度，高中、大专、硕士及以上学历求人倍率分别为1.77、1.63、1.63，而大学学历求人倍率为0.75，获得工作机会相对较低。</w:t>
      </w:r>
    </w:p>
    <w:p>
      <w:pPr>
        <w:keepNext w:val="0"/>
        <w:keepLines w:val="0"/>
        <w:pageBreakBefore w:val="0"/>
        <w:kinsoku/>
        <w:wordWrap/>
        <w:overflowPunct/>
        <w:topLinePunct w:val="0"/>
        <w:autoSpaceDE/>
        <w:autoSpaceDN/>
        <w:bidi w:val="0"/>
        <w:adjustRightInd/>
        <w:snapToGrid/>
        <w:spacing w:line="360" w:lineRule="auto"/>
        <w:ind w:right="0"/>
        <w:rPr>
          <w:rFonts w:hint="default" w:ascii="Times New Roman" w:hAnsi="Times New Roman" w:eastAsia="宋体" w:cs="Times New Roman"/>
          <w:color w:val="auto"/>
          <w:sz w:val="28"/>
          <w:szCs w:val="28"/>
        </w:rPr>
      </w:pPr>
    </w:p>
    <w:bookmarkEnd w:id="0"/>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DDA0026"/>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1529B"/>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6"/>
    <w:qFormat/>
    <w:uiPriority w:val="0"/>
    <w:pPr>
      <w:spacing w:before="50" w:beforeLines="50" w:after="100" w:afterLines="100"/>
      <w:ind w:left="0"/>
      <w:jc w:val="center"/>
      <w:outlineLvl w:val="0"/>
    </w:pPr>
    <w:rPr>
      <w:rFonts w:ascii="黑体" w:hAnsi="黑体" w:eastAsia="黑体" w:cs="黑体"/>
      <w:b/>
      <w:bCs/>
      <w:sz w:val="36"/>
      <w:szCs w:val="32"/>
      <w:lang w:val="zh-CN" w:bidi="zh-CN"/>
    </w:rPr>
  </w:style>
  <w:style w:type="paragraph" w:styleId="3">
    <w:name w:val="heading 2"/>
    <w:basedOn w:val="1"/>
    <w:next w:val="1"/>
    <w:link w:val="14"/>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5"/>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styleId="13">
    <w:name w:val="Hyperlink"/>
    <w:basedOn w:val="11"/>
    <w:uiPriority w:val="0"/>
    <w:rPr>
      <w:color w:val="0000FF"/>
      <w:u w:val="single"/>
    </w:rPr>
  </w:style>
  <w:style w:type="character" w:customStyle="1" w:styleId="14">
    <w:name w:val="标题 2 Char"/>
    <w:link w:val="3"/>
    <w:qFormat/>
    <w:uiPriority w:val="0"/>
    <w:rPr>
      <w:rFonts w:ascii="华文中宋" w:hAnsi="华文中宋" w:eastAsia="华文中宋" w:cs="华文中宋"/>
      <w:b/>
      <w:kern w:val="2"/>
      <w:sz w:val="28"/>
    </w:rPr>
  </w:style>
  <w:style w:type="character" w:customStyle="1" w:styleId="15">
    <w:name w:val="标题 3 Char"/>
    <w:link w:val="4"/>
    <w:qFormat/>
    <w:uiPriority w:val="0"/>
    <w:rPr>
      <w:rFonts w:eastAsia="黑体"/>
      <w:b/>
      <w:sz w:val="28"/>
      <w:szCs w:val="24"/>
    </w:rPr>
  </w:style>
  <w:style w:type="character" w:customStyle="1" w:styleId="16">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7">
    <w:name w:val="广联达方案正文"/>
    <w:link w:val="18"/>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8">
    <w:name w:val="广联达方案正文 Char"/>
    <w:link w:val="17"/>
    <w:qFormat/>
    <w:locked/>
    <w:uiPriority w:val="0"/>
    <w:rPr>
      <w:rFonts w:ascii="宋体" w:hAnsi="宋体" w:eastAsia="仿宋" w:cs="Times New Roman"/>
      <w:kern w:val="2"/>
      <w:sz w:val="22"/>
    </w:rPr>
  </w:style>
  <w:style w:type="paragraph" w:styleId="19">
    <w:name w:val="List Paragraph"/>
    <w:basedOn w:val="1"/>
    <w:link w:val="20"/>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20">
    <w:name w:val="List Paragraph Char"/>
    <w:link w:val="19"/>
    <w:qFormat/>
    <w:uiPriority w:val="1"/>
    <w:rPr>
      <w:rFonts w:ascii="Times New Roman" w:hAnsi="Times New Roman" w:eastAsia="宋体" w:cs="宋体"/>
      <w:sz w:val="22"/>
      <w:szCs w:val="22"/>
      <w:lang w:val="zh-CN" w:eastAsia="zh-CN" w:bidi="zh-CN"/>
    </w:rPr>
  </w:style>
  <w:style w:type="paragraph" w:customStyle="1" w:styleId="21">
    <w:name w:val="Body text|1"/>
    <w:basedOn w:val="1"/>
    <w:link w:val="22"/>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2">
    <w:name w:val="Body text|1_"/>
    <w:basedOn w:val="11"/>
    <w:link w:val="21"/>
    <w:qFormat/>
    <w:uiPriority w:val="0"/>
    <w:rPr>
      <w:rFonts w:ascii="宋体" w:hAnsi="宋体" w:eastAsia="宋体" w:cs="宋体"/>
      <w:color w:val="000000"/>
      <w:sz w:val="24"/>
      <w:szCs w:val="19"/>
      <w:u w:val="none"/>
      <w:shd w:val="clear" w:color="auto" w:fill="auto"/>
      <w:lang w:val="zh-TW" w:eastAsia="zh-TW" w:bidi="zh-TW"/>
    </w:rPr>
  </w:style>
  <w:style w:type="paragraph" w:customStyle="1" w:styleId="23">
    <w:name w:val="Heading #2|1"/>
    <w:basedOn w:val="1"/>
    <w:link w:val="24"/>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4">
    <w:name w:val="Heading #2|1_"/>
    <w:basedOn w:val="11"/>
    <w:link w:val="23"/>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2021-10-29T08:23:48Z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