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pPr w:vertAnchor="text" w:tblpXSpec="right"/>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66" w:hRule="atLeast"/>
        </w:trPr>
        <w:tc>
          <w:tcPr>
            <w:tcW w:w="0" w:type="auto"/>
            <w:tcBorders>
              <w:tl2br w:val="nil"/>
              <w:tr2bl w:val="nil"/>
            </w:tcBorders>
            <w:shd w:val="clear"/>
            <w:vAlign w:val="center"/>
          </w:tcPr>
          <w:p>
            <w:pPr>
              <w:keepNext w:val="0"/>
              <w:keepLines w:val="0"/>
              <w:pageBreakBefore w:val="0"/>
              <w:widowControl/>
              <w:suppressLineNumbers w:val="0"/>
              <w:pBdr>
                <w:top w:val="none" w:color="auto" w:sz="0" w:space="0"/>
                <w:left w:val="none" w:color="auto" w:sz="0" w:space="0"/>
                <w:bottom w:val="single" w:color="D6D5D5" w:sz="4" w:space="12"/>
                <w:right w:val="none" w:color="auto" w:sz="0" w:space="0"/>
              </w:pBdr>
              <w:shd w:val="clear" w:fill="FFFFFF"/>
              <w:kinsoku/>
              <w:wordWrap/>
              <w:overflowPunct/>
              <w:topLinePunct w:val="0"/>
              <w:autoSpaceDE/>
              <w:autoSpaceDN/>
              <w:bidi w:val="0"/>
              <w:adjustRightInd/>
              <w:snapToGrid/>
              <w:spacing w:before="181" w:beforeLines="50" w:beforeAutospacing="0" w:after="361" w:afterLines="100" w:afterAutospacing="0"/>
              <w:ind w:left="0" w:right="0" w:firstLine="0"/>
              <w:jc w:val="center"/>
              <w:textAlignment w:val="auto"/>
              <w:rPr>
                <w:rFonts w:hint="default" w:ascii="Times New Roman" w:hAnsi="Times New Roman" w:eastAsia="仿宋" w:cs="Times New Roman"/>
              </w:rPr>
            </w:pPr>
            <w:bookmarkStart w:id="0" w:name="_GoBack"/>
            <w:r>
              <w:rPr>
                <w:rFonts w:hint="default" w:ascii="Times New Roman" w:hAnsi="Times New Roman" w:eastAsia="仿宋" w:cs="Times New Roman"/>
                <w:color w:val="000000"/>
                <w:kern w:val="0"/>
                <w:sz w:val="24"/>
                <w:szCs w:val="24"/>
                <w:u w:val="none"/>
                <w:bdr w:val="none" w:color="auto" w:sz="0" w:space="0"/>
                <w:lang w:val="en-US" w:eastAsia="zh-CN" w:bidi="ar"/>
              </w:rPr>
              <w:t> </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6" w:lineRule="atLeast"/>
        <w:ind w:left="0" w:right="0"/>
        <w:jc w:val="both"/>
        <w:rPr>
          <w:rFonts w:hint="default" w:ascii="Times New Roman" w:hAnsi="Times New Roman" w:eastAsia="仿宋" w:cs="Times New Roman"/>
          <w:i w:val="0"/>
          <w:iCs w:val="0"/>
          <w:caps w:val="0"/>
          <w:color w:val="000000"/>
          <w:spacing w:val="0"/>
          <w:sz w:val="19"/>
          <w:szCs w:val="19"/>
          <w:bdr w:val="none" w:color="auto" w:sz="0" w:space="0"/>
          <w:shd w:val="clear" w:fill="FFFFFF"/>
        </w:rPr>
      </w:pPr>
      <w:r>
        <w:rPr>
          <w:rFonts w:hint="default" w:ascii="Times New Roman" w:hAnsi="Times New Roman" w:eastAsia="仿宋" w:cs="Times New Roman"/>
          <w:i w:val="0"/>
          <w:iCs w:val="0"/>
          <w:caps w:val="0"/>
          <w:color w:val="000000"/>
          <w:spacing w:val="0"/>
          <w:sz w:val="19"/>
          <w:szCs w:val="19"/>
          <w:bdr w:val="none" w:color="auto" w:sz="0" w:space="0"/>
          <w:shd w:val="clear" w:fill="FFFFFF"/>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jc w:val="center"/>
        <w:textAlignment w:val="auto"/>
        <w:rPr>
          <w:rFonts w:hint="default" w:ascii="Times New Roman" w:hAnsi="Times New Roman" w:eastAsia="仿宋" w:cs="Times New Roman"/>
          <w:color w:val="000000"/>
          <w:kern w:val="0"/>
          <w:sz w:val="36"/>
          <w:szCs w:val="36"/>
          <w:u w:val="none"/>
          <w:lang w:val="en-US" w:eastAsia="zh-CN" w:bidi="ar"/>
        </w:rPr>
      </w:pPr>
      <w:r>
        <w:rPr>
          <w:rFonts w:hint="default" w:ascii="Times New Roman" w:hAnsi="Times New Roman" w:eastAsia="仿宋" w:cs="Times New Roman"/>
          <w:b/>
          <w:bCs/>
          <w:i w:val="0"/>
          <w:iCs w:val="0"/>
          <w:caps w:val="0"/>
          <w:color w:val="auto"/>
          <w:spacing w:val="0"/>
          <w:kern w:val="0"/>
          <w:sz w:val="36"/>
          <w:szCs w:val="36"/>
          <w:shd w:val="clear" w:fill="FFFFFF"/>
          <w:lang w:val="en-US" w:eastAsia="zh-CN" w:bidi="ar"/>
        </w:rPr>
        <w:t>西博会签约投资项目758个 还拟推出2445个项目，投资总额超4.3万亿元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i w:val="0"/>
          <w:iCs w:val="0"/>
          <w:caps w:val="0"/>
          <w:color w:val="000000"/>
          <w:spacing w:val="0"/>
          <w:sz w:val="19"/>
          <w:szCs w:val="19"/>
          <w:bdr w:val="none" w:color="auto" w:sz="0" w:space="0"/>
          <w:shd w:val="clear" w:fill="FFFFFF"/>
        </w:rPr>
        <w:t xml:space="preserve"> </w:t>
      </w:r>
      <w:r>
        <w:rPr>
          <w:rFonts w:hint="default" w:ascii="Times New Roman" w:hAnsi="Times New Roman" w:eastAsia="仿宋" w:cs="Times New Roman"/>
          <w:i w:val="0"/>
          <w:iCs w:val="0"/>
          <w:caps w:val="0"/>
          <w:color w:val="000000"/>
          <w:spacing w:val="0"/>
          <w:sz w:val="28"/>
          <w:szCs w:val="28"/>
          <w:bdr w:val="none" w:color="auto" w:sz="0" w:space="0"/>
          <w:shd w:val="clear" w:fill="FFFFFF"/>
        </w:rPr>
        <w:t>9月16日下午，作为第十八届西博会的重大标志性活动，第十一届中国西部投资说明会暨经济合作项目签约仪式在成都举行。经过前期对接洽谈，本届西博会西部各方与国内外投资者签约投资合作项目758个，其中，西部各方精选11个代表性项目现场签约。同时，为进一步分享中国西部发展新机遇，本次活动西部相关省（区、市）和新疆生产建设兵团，推出拟对外招商的投资项目2445个，投资总额超4.3万亿元。</w:t>
      </w:r>
      <w:r>
        <w:rPr>
          <w:rFonts w:hint="default" w:ascii="Times New Roman" w:hAnsi="Times New Roman" w:eastAsia="仿宋"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 w:cs="Times New Roman"/>
          <w:i w:val="0"/>
          <w:iCs w:val="0"/>
          <w:caps w:val="0"/>
          <w:color w:val="000000"/>
          <w:spacing w:val="0"/>
          <w:sz w:val="28"/>
          <w:szCs w:val="28"/>
          <w:bdr w:val="none" w:color="auto" w:sz="0" w:space="0"/>
          <w:shd w:val="clear" w:fill="FFFFFF"/>
        </w:rPr>
        <w:t>    大会以“中国新时代·西部新机遇”为主题，由国家发展和改革委员会、西部十二省（区、市）和新疆生产建设兵团共同主办，四川省人民政府承办，四川省经济合作局、四川省发展和改革委员会具体负责。</w:t>
      </w:r>
      <w:r>
        <w:rPr>
          <w:rFonts w:hint="default" w:ascii="Times New Roman" w:hAnsi="Times New Roman" w:eastAsia="仿宋"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 w:cs="Times New Roman"/>
          <w:i w:val="0"/>
          <w:iCs w:val="0"/>
          <w:caps w:val="0"/>
          <w:color w:val="000000"/>
          <w:spacing w:val="0"/>
          <w:sz w:val="28"/>
          <w:szCs w:val="28"/>
          <w:bdr w:val="none" w:color="auto" w:sz="0" w:space="0"/>
          <w:shd w:val="clear" w:fill="FFFFFF"/>
        </w:rPr>
        <w:t>    本届投资说明会四川签约项目主要呈现三个特点：</w:t>
      </w:r>
      <w:r>
        <w:rPr>
          <w:rFonts w:hint="default" w:ascii="Times New Roman" w:hAnsi="Times New Roman" w:eastAsia="仿宋"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 w:cs="Times New Roman"/>
          <w:i w:val="0"/>
          <w:iCs w:val="0"/>
          <w:caps w:val="0"/>
          <w:color w:val="000000"/>
          <w:spacing w:val="0"/>
          <w:sz w:val="28"/>
          <w:szCs w:val="28"/>
          <w:bdr w:val="none" w:color="auto" w:sz="0" w:space="0"/>
          <w:shd w:val="clear" w:fill="FFFFFF"/>
        </w:rPr>
        <w:t>    “5+1”现代工业项目成为投资热点，电子信息、装备制造、食品饮料、先进材料、能源化工和数字经济项目占本次签约总额的49.8%，备受投资者青睐；民营企业成为投资主力军，本次在川投资布局的企业中，民营企业投资金额占到签约总额的81.3%；重大投资项目占比较大，投资额10—30亿元的项目签约金额占总额的29.4%，投资额30亿元以上的项目签约金额占总额的36.5%。</w:t>
      </w:r>
      <w:r>
        <w:rPr>
          <w:rFonts w:hint="default" w:ascii="Times New Roman" w:hAnsi="Times New Roman" w:eastAsia="仿宋"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 w:cs="Times New Roman"/>
          <w:i w:val="0"/>
          <w:iCs w:val="0"/>
          <w:caps w:val="0"/>
          <w:color w:val="000000"/>
          <w:spacing w:val="0"/>
          <w:sz w:val="28"/>
          <w:szCs w:val="28"/>
          <w:bdr w:val="none" w:color="auto" w:sz="0" w:space="0"/>
          <w:shd w:val="clear" w:fill="FFFFFF"/>
        </w:rPr>
        <w:t>    此外，记者从会上获悉，为进一步分享中国西部发展新机遇，推动海内外企业关注西部、走进西部、投资西部，本次活动西部相关省（区、市）和新疆生产建设兵团，围绕各地特色优势产业和战略性新兴产业以及重大基础设施和重要改革领域，推出拟对外招商的投资项目2445个，投资总额超4.3万亿元。</w:t>
      </w:r>
      <w:r>
        <w:rPr>
          <w:rFonts w:hint="default" w:ascii="Times New Roman" w:hAnsi="Times New Roman" w:eastAsia="仿宋" w:cs="Times New Roman"/>
          <w:i w:val="0"/>
          <w:iCs w:val="0"/>
          <w:caps w:val="0"/>
          <w:color w:val="000000"/>
          <w:spacing w:val="0"/>
          <w:sz w:val="28"/>
          <w:szCs w:val="28"/>
          <w:bdr w:val="none" w:color="auto" w:sz="0" w:space="0"/>
          <w:shd w:val="clear" w:fill="FFFFFF"/>
        </w:rPr>
        <w:br w:type="textWrapping"/>
      </w:r>
      <w:r>
        <w:rPr>
          <w:rFonts w:hint="default" w:ascii="Times New Roman" w:hAnsi="Times New Roman" w:eastAsia="仿宋" w:cs="Times New Roman"/>
          <w:i w:val="0"/>
          <w:iCs w:val="0"/>
          <w:caps w:val="0"/>
          <w:color w:val="000000"/>
          <w:spacing w:val="0"/>
          <w:sz w:val="28"/>
          <w:szCs w:val="28"/>
          <w:bdr w:val="none" w:color="auto" w:sz="0" w:space="0"/>
          <w:shd w:val="clear" w:fill="FFFFFF"/>
        </w:rPr>
        <w:t>    西博会是国家在西部地区搭建的重要投资促进平台，本届西博会除举办第十一届西投会外，还举行了系列投资促进活动。针对重点国家和地区，第十六届中国——欧洲投资贸易科技合作洽谈会、新加坡——四川贸易与投资委员会第二十二次会议等活动将陆续登场；围绕物流、航空、会展等产业领域，中国西部国际物流供应链大会、“一带一路”华商峰会、中国西部会展业发展高峰会等系列活动也将精彩上演；西藏、新疆生产建设兵团同步举办相关专题投资促进活动，向世界递交出“共享地球第三极”“开放兵团”新名片。四川市级层面，有17个市州聚焦绿色生态、医药健康、文化旅游、食品饮料、装备制造等行业领域，举办各具特色的投资专题活动，展现“一干多支、五区协同”发展新活力。</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sz w:val="28"/>
          <w:szCs w:val="28"/>
        </w:rPr>
      </w:pPr>
    </w:p>
    <w:bookmarkEnd w:id="0"/>
    <w:sectPr>
      <w:footnotePr>
        <w:numFmt w:val="decimal"/>
      </w:footnotePr>
      <w:pgSz w:w="11755" w:h="15101"/>
      <w:pgMar w:top="1468" w:right="1077" w:bottom="1468" w:left="1128" w:header="0" w:footer="935" w:gutter="0"/>
      <w:pgBorders w:offsetFrom="page">
        <w:top w:val="none" w:sz="0" w:space="0"/>
        <w:left w:val="none" w:sz="0" w:space="0"/>
        <w:bottom w:val="none" w:sz="0" w:space="0"/>
        <w:right w:val="none" w:sz="0" w:space="0"/>
      </w:pgBorders>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400B"/>
    <w:rsid w:val="00CA28FC"/>
    <w:rsid w:val="00F37C16"/>
    <w:rsid w:val="011828AA"/>
    <w:rsid w:val="01AC5083"/>
    <w:rsid w:val="036A3FA2"/>
    <w:rsid w:val="039E5A4C"/>
    <w:rsid w:val="040B413B"/>
    <w:rsid w:val="04D25295"/>
    <w:rsid w:val="04D641DE"/>
    <w:rsid w:val="04E66C3D"/>
    <w:rsid w:val="05216601"/>
    <w:rsid w:val="056D7DC2"/>
    <w:rsid w:val="05E91B4D"/>
    <w:rsid w:val="05FB3DA9"/>
    <w:rsid w:val="068617E2"/>
    <w:rsid w:val="06C97386"/>
    <w:rsid w:val="07745228"/>
    <w:rsid w:val="081A6E35"/>
    <w:rsid w:val="092D1F34"/>
    <w:rsid w:val="0944688A"/>
    <w:rsid w:val="0991398E"/>
    <w:rsid w:val="09F23B22"/>
    <w:rsid w:val="0A5F19D8"/>
    <w:rsid w:val="0A7C02A9"/>
    <w:rsid w:val="0A7F3308"/>
    <w:rsid w:val="0BBB164B"/>
    <w:rsid w:val="0BCE5C4C"/>
    <w:rsid w:val="0C9B0D68"/>
    <w:rsid w:val="0E610137"/>
    <w:rsid w:val="0ED40069"/>
    <w:rsid w:val="0F4D673B"/>
    <w:rsid w:val="104907F1"/>
    <w:rsid w:val="10DA442A"/>
    <w:rsid w:val="10DF6C8D"/>
    <w:rsid w:val="116B7292"/>
    <w:rsid w:val="11CD7C3E"/>
    <w:rsid w:val="121E657A"/>
    <w:rsid w:val="126375D8"/>
    <w:rsid w:val="12751C5C"/>
    <w:rsid w:val="142D64B6"/>
    <w:rsid w:val="1519126B"/>
    <w:rsid w:val="15551145"/>
    <w:rsid w:val="15565E70"/>
    <w:rsid w:val="177E04A7"/>
    <w:rsid w:val="18AD064D"/>
    <w:rsid w:val="19312F67"/>
    <w:rsid w:val="19356C4E"/>
    <w:rsid w:val="1A1370D5"/>
    <w:rsid w:val="1A6D50C8"/>
    <w:rsid w:val="1ACB65C8"/>
    <w:rsid w:val="1AE26D53"/>
    <w:rsid w:val="1BD1168D"/>
    <w:rsid w:val="1C9F3F41"/>
    <w:rsid w:val="1CDD6558"/>
    <w:rsid w:val="1D1F3327"/>
    <w:rsid w:val="1DE52574"/>
    <w:rsid w:val="1E4844E6"/>
    <w:rsid w:val="1E63236D"/>
    <w:rsid w:val="1F170222"/>
    <w:rsid w:val="1F600C27"/>
    <w:rsid w:val="1FCB4AFE"/>
    <w:rsid w:val="1FEF3AC6"/>
    <w:rsid w:val="20087E58"/>
    <w:rsid w:val="206462C3"/>
    <w:rsid w:val="218D176C"/>
    <w:rsid w:val="21BC62E4"/>
    <w:rsid w:val="22ED6E51"/>
    <w:rsid w:val="23B70977"/>
    <w:rsid w:val="240957F6"/>
    <w:rsid w:val="243E7308"/>
    <w:rsid w:val="24E15011"/>
    <w:rsid w:val="24E87251"/>
    <w:rsid w:val="24F302E0"/>
    <w:rsid w:val="25042186"/>
    <w:rsid w:val="25054F04"/>
    <w:rsid w:val="25305310"/>
    <w:rsid w:val="253B3949"/>
    <w:rsid w:val="254F71A6"/>
    <w:rsid w:val="258253D2"/>
    <w:rsid w:val="275746A3"/>
    <w:rsid w:val="281D4C55"/>
    <w:rsid w:val="286D5BDA"/>
    <w:rsid w:val="289209AE"/>
    <w:rsid w:val="28B278AD"/>
    <w:rsid w:val="298C5B00"/>
    <w:rsid w:val="2A7E0A3C"/>
    <w:rsid w:val="2B191601"/>
    <w:rsid w:val="2C5B0FB1"/>
    <w:rsid w:val="2C5B6850"/>
    <w:rsid w:val="2C87121F"/>
    <w:rsid w:val="2C8C060B"/>
    <w:rsid w:val="2CB41732"/>
    <w:rsid w:val="2CBA74AC"/>
    <w:rsid w:val="2D3B5DA8"/>
    <w:rsid w:val="2D460DA9"/>
    <w:rsid w:val="2D865B6F"/>
    <w:rsid w:val="2D99005B"/>
    <w:rsid w:val="2DC51AC6"/>
    <w:rsid w:val="2DE22F1B"/>
    <w:rsid w:val="2E6B6DB5"/>
    <w:rsid w:val="2E764556"/>
    <w:rsid w:val="2F110ADB"/>
    <w:rsid w:val="2FD551DD"/>
    <w:rsid w:val="2FDB22F1"/>
    <w:rsid w:val="30042993"/>
    <w:rsid w:val="302D3BF0"/>
    <w:rsid w:val="30DE0F4E"/>
    <w:rsid w:val="3103401D"/>
    <w:rsid w:val="31687E98"/>
    <w:rsid w:val="318D4D0B"/>
    <w:rsid w:val="31C36544"/>
    <w:rsid w:val="32E56318"/>
    <w:rsid w:val="335F2E53"/>
    <w:rsid w:val="33F260D0"/>
    <w:rsid w:val="33F92C2A"/>
    <w:rsid w:val="34270A3F"/>
    <w:rsid w:val="3486274C"/>
    <w:rsid w:val="349C3AF7"/>
    <w:rsid w:val="351D6313"/>
    <w:rsid w:val="353443F9"/>
    <w:rsid w:val="356E6843"/>
    <w:rsid w:val="358139C4"/>
    <w:rsid w:val="36FE04E9"/>
    <w:rsid w:val="37D62ABF"/>
    <w:rsid w:val="38121B15"/>
    <w:rsid w:val="381D3BE5"/>
    <w:rsid w:val="385242A2"/>
    <w:rsid w:val="386D6F29"/>
    <w:rsid w:val="38CC4395"/>
    <w:rsid w:val="398A44C4"/>
    <w:rsid w:val="39AD465A"/>
    <w:rsid w:val="39B53FE4"/>
    <w:rsid w:val="3A292D5A"/>
    <w:rsid w:val="3A5465C4"/>
    <w:rsid w:val="3B1B05CE"/>
    <w:rsid w:val="3B3D799A"/>
    <w:rsid w:val="3B947830"/>
    <w:rsid w:val="3BEC5EEF"/>
    <w:rsid w:val="3BFA63C5"/>
    <w:rsid w:val="3C017C32"/>
    <w:rsid w:val="3CD62EDA"/>
    <w:rsid w:val="3DC214AD"/>
    <w:rsid w:val="3E365C37"/>
    <w:rsid w:val="3E91118E"/>
    <w:rsid w:val="3E995FD1"/>
    <w:rsid w:val="3F976AD4"/>
    <w:rsid w:val="404413A8"/>
    <w:rsid w:val="40674C79"/>
    <w:rsid w:val="40C978B8"/>
    <w:rsid w:val="41DB4A79"/>
    <w:rsid w:val="42906832"/>
    <w:rsid w:val="42CE5711"/>
    <w:rsid w:val="430746C8"/>
    <w:rsid w:val="43A1128F"/>
    <w:rsid w:val="43D70204"/>
    <w:rsid w:val="44056BCF"/>
    <w:rsid w:val="44A50FB4"/>
    <w:rsid w:val="44AC3EB5"/>
    <w:rsid w:val="44DD734A"/>
    <w:rsid w:val="44F943E3"/>
    <w:rsid w:val="45017EBC"/>
    <w:rsid w:val="45A27115"/>
    <w:rsid w:val="45A468C4"/>
    <w:rsid w:val="462A65A1"/>
    <w:rsid w:val="4676528D"/>
    <w:rsid w:val="467B4F43"/>
    <w:rsid w:val="46DD3610"/>
    <w:rsid w:val="4713188D"/>
    <w:rsid w:val="471D7225"/>
    <w:rsid w:val="475A364E"/>
    <w:rsid w:val="4765593F"/>
    <w:rsid w:val="47EF6F8B"/>
    <w:rsid w:val="48590A80"/>
    <w:rsid w:val="48830A5E"/>
    <w:rsid w:val="48992B3E"/>
    <w:rsid w:val="48BC0E01"/>
    <w:rsid w:val="4A0220BF"/>
    <w:rsid w:val="4A561CF9"/>
    <w:rsid w:val="4AAD29CE"/>
    <w:rsid w:val="4AB802E6"/>
    <w:rsid w:val="4B3A2FC4"/>
    <w:rsid w:val="4C3629BC"/>
    <w:rsid w:val="4C6368ED"/>
    <w:rsid w:val="4C864792"/>
    <w:rsid w:val="4CD81D86"/>
    <w:rsid w:val="4D801672"/>
    <w:rsid w:val="4DAC3CB5"/>
    <w:rsid w:val="4E6A56C1"/>
    <w:rsid w:val="4EE9182A"/>
    <w:rsid w:val="4EEB33A7"/>
    <w:rsid w:val="4EF63CDE"/>
    <w:rsid w:val="4F6E7711"/>
    <w:rsid w:val="4F771DCC"/>
    <w:rsid w:val="4FFE31F4"/>
    <w:rsid w:val="50365736"/>
    <w:rsid w:val="512F2EC9"/>
    <w:rsid w:val="517D72B1"/>
    <w:rsid w:val="51994521"/>
    <w:rsid w:val="520A3203"/>
    <w:rsid w:val="52C333E6"/>
    <w:rsid w:val="53B509C9"/>
    <w:rsid w:val="54415263"/>
    <w:rsid w:val="54431BDF"/>
    <w:rsid w:val="54503261"/>
    <w:rsid w:val="545A7293"/>
    <w:rsid w:val="54C71499"/>
    <w:rsid w:val="55210758"/>
    <w:rsid w:val="556477FB"/>
    <w:rsid w:val="559D7222"/>
    <w:rsid w:val="55BB5C05"/>
    <w:rsid w:val="55BF1C82"/>
    <w:rsid w:val="55F90C62"/>
    <w:rsid w:val="56031DBE"/>
    <w:rsid w:val="577B1A03"/>
    <w:rsid w:val="590C0607"/>
    <w:rsid w:val="59AD5CAB"/>
    <w:rsid w:val="59B129E4"/>
    <w:rsid w:val="59D378B8"/>
    <w:rsid w:val="5A1128D7"/>
    <w:rsid w:val="5B3E7E21"/>
    <w:rsid w:val="5C0A25E3"/>
    <w:rsid w:val="5CE00A8D"/>
    <w:rsid w:val="5D753AE0"/>
    <w:rsid w:val="5DCF5D1E"/>
    <w:rsid w:val="5E2466E2"/>
    <w:rsid w:val="5E585C05"/>
    <w:rsid w:val="5EC02044"/>
    <w:rsid w:val="5F86271E"/>
    <w:rsid w:val="602333F8"/>
    <w:rsid w:val="61263B9F"/>
    <w:rsid w:val="615A3C3B"/>
    <w:rsid w:val="616267BD"/>
    <w:rsid w:val="61F56284"/>
    <w:rsid w:val="62551CB5"/>
    <w:rsid w:val="62EE3BD7"/>
    <w:rsid w:val="634A7B48"/>
    <w:rsid w:val="653E44CB"/>
    <w:rsid w:val="6549122F"/>
    <w:rsid w:val="65863C78"/>
    <w:rsid w:val="658A4F55"/>
    <w:rsid w:val="678E3431"/>
    <w:rsid w:val="67F11628"/>
    <w:rsid w:val="68262C1A"/>
    <w:rsid w:val="68A35D02"/>
    <w:rsid w:val="69462FFA"/>
    <w:rsid w:val="69622692"/>
    <w:rsid w:val="69E17373"/>
    <w:rsid w:val="6A443E9C"/>
    <w:rsid w:val="6A8D7CD9"/>
    <w:rsid w:val="6ACB530D"/>
    <w:rsid w:val="6B321F88"/>
    <w:rsid w:val="6B436553"/>
    <w:rsid w:val="6CA81A93"/>
    <w:rsid w:val="6D044B53"/>
    <w:rsid w:val="6D361A2F"/>
    <w:rsid w:val="6E645C7C"/>
    <w:rsid w:val="6F034A37"/>
    <w:rsid w:val="6F0E376B"/>
    <w:rsid w:val="6F761B42"/>
    <w:rsid w:val="6F8C52D6"/>
    <w:rsid w:val="70182247"/>
    <w:rsid w:val="704B5AD1"/>
    <w:rsid w:val="70EB65DD"/>
    <w:rsid w:val="712E097E"/>
    <w:rsid w:val="71CC5E35"/>
    <w:rsid w:val="7257272D"/>
    <w:rsid w:val="728644AA"/>
    <w:rsid w:val="72FE3B55"/>
    <w:rsid w:val="7324615E"/>
    <w:rsid w:val="732D2960"/>
    <w:rsid w:val="7334494A"/>
    <w:rsid w:val="74CF3F6F"/>
    <w:rsid w:val="75B450AC"/>
    <w:rsid w:val="75E30313"/>
    <w:rsid w:val="76704644"/>
    <w:rsid w:val="7744112E"/>
    <w:rsid w:val="786340F1"/>
    <w:rsid w:val="789802D7"/>
    <w:rsid w:val="79410370"/>
    <w:rsid w:val="79460005"/>
    <w:rsid w:val="794C0E08"/>
    <w:rsid w:val="79B366E6"/>
    <w:rsid w:val="79C230AA"/>
    <w:rsid w:val="79C23B4B"/>
    <w:rsid w:val="7A4D0F47"/>
    <w:rsid w:val="7AF95EE6"/>
    <w:rsid w:val="7B684871"/>
    <w:rsid w:val="7BE60A49"/>
    <w:rsid w:val="7C133710"/>
    <w:rsid w:val="7C2F040A"/>
    <w:rsid w:val="7C984E1B"/>
    <w:rsid w:val="7CF36D3F"/>
    <w:rsid w:val="7D78049E"/>
    <w:rsid w:val="7E5852C9"/>
    <w:rsid w:val="7E814349"/>
    <w:rsid w:val="7EE40941"/>
    <w:rsid w:val="7F11040F"/>
    <w:rsid w:val="7FD4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left"/>
    </w:pPr>
    <w:rPr>
      <w:rFonts w:asciiTheme="minorAscii" w:hAnsiTheme="minorAscii" w:eastAsiaTheme="minorEastAsia" w:cstheme="minorBidi"/>
      <w:kern w:val="2"/>
      <w:sz w:val="28"/>
      <w:szCs w:val="24"/>
      <w:lang w:val="en-US" w:eastAsia="zh-CN" w:bidi="ar-SA"/>
    </w:rPr>
  </w:style>
  <w:style w:type="paragraph" w:styleId="2">
    <w:name w:val="heading 1"/>
    <w:basedOn w:val="1"/>
    <w:next w:val="1"/>
    <w:link w:val="15"/>
    <w:qFormat/>
    <w:uiPriority w:val="0"/>
    <w:pPr>
      <w:spacing w:before="50" w:beforeLines="50" w:after="50" w:afterLines="50"/>
      <w:ind w:left="743"/>
      <w:outlineLvl w:val="0"/>
    </w:pPr>
    <w:rPr>
      <w:rFonts w:ascii="黑体" w:hAnsi="黑体" w:eastAsia="黑体" w:cs="黑体"/>
      <w:b/>
      <w:bCs/>
      <w:sz w:val="32"/>
      <w:szCs w:val="32"/>
      <w:lang w:val="zh-CN" w:eastAsia="zh-CN" w:bidi="zh-CN"/>
    </w:rPr>
  </w:style>
  <w:style w:type="paragraph" w:styleId="3">
    <w:name w:val="heading 2"/>
    <w:basedOn w:val="1"/>
    <w:next w:val="1"/>
    <w:link w:val="13"/>
    <w:semiHidden/>
    <w:unhideWhenUsed/>
    <w:qFormat/>
    <w:uiPriority w:val="0"/>
    <w:pPr>
      <w:spacing w:before="50" w:beforeLines="50" w:after="50" w:afterLines="50" w:line="360" w:lineRule="auto"/>
      <w:ind w:left="0"/>
      <w:outlineLvl w:val="1"/>
    </w:pPr>
    <w:rPr>
      <w:rFonts w:ascii="华文中宋" w:hAnsi="华文中宋" w:cs="华文中宋"/>
      <w:b/>
      <w:bCs/>
      <w:sz w:val="28"/>
      <w:szCs w:val="28"/>
    </w:rPr>
  </w:style>
  <w:style w:type="paragraph" w:styleId="4">
    <w:name w:val="heading 3"/>
    <w:basedOn w:val="1"/>
    <w:next w:val="1"/>
    <w:link w:val="14"/>
    <w:semiHidden/>
    <w:unhideWhenUsed/>
    <w:qFormat/>
    <w:uiPriority w:val="0"/>
    <w:pPr>
      <w:keepNext/>
      <w:keepLines/>
      <w:spacing w:beforeAutospacing="0" w:afterAutospacing="0" w:line="360" w:lineRule="auto"/>
      <w:ind w:firstLine="0" w:firstLineChars="0"/>
      <w:jc w:val="left"/>
      <w:outlineLvl w:val="2"/>
    </w:pPr>
    <w:rPr>
      <w:rFonts w:eastAsia="宋体" w:asciiTheme="minorAscii" w:hAnsiTheme="minorAscii"/>
      <w:szCs w:val="24"/>
    </w:rPr>
  </w:style>
  <w:style w:type="paragraph" w:styleId="5">
    <w:name w:val="heading 4"/>
    <w:basedOn w:val="1"/>
    <w:next w:val="1"/>
    <w:semiHidden/>
    <w:unhideWhenUsed/>
    <w:qFormat/>
    <w:uiPriority w:val="0"/>
    <w:pPr>
      <w:spacing w:before="50" w:beforeLines="50" w:after="50" w:afterLines="50"/>
      <w:ind w:left="1225" w:hanging="629"/>
      <w:outlineLvl w:val="3"/>
    </w:pPr>
    <w:rPr>
      <w:b/>
      <w:bCs/>
      <w:sz w:val="21"/>
      <w:szCs w:val="21"/>
    </w:rPr>
  </w:style>
  <w:style w:type="character" w:default="1" w:styleId="11">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line="360" w:lineRule="auto"/>
      <w:ind w:left="0" w:firstLine="803" w:firstLineChars="200"/>
    </w:pPr>
    <w:rPr>
      <w:rFonts w:ascii="宋体" w:hAnsi="宋体" w:eastAsia="宋体" w:cs="宋体"/>
      <w:sz w:val="24"/>
      <w:szCs w:val="28"/>
      <w:lang w:val="zh-CN" w:bidi="zh-CN"/>
    </w:rPr>
  </w:style>
  <w:style w:type="paragraph" w:styleId="7">
    <w:name w:val="Body Text Indent"/>
    <w:basedOn w:val="1"/>
    <w:qFormat/>
    <w:uiPriority w:val="0"/>
    <w:pPr>
      <w:spacing w:line="360" w:lineRule="auto"/>
      <w:ind w:firstLine="562" w:firstLineChars="200"/>
      <w:jc w:val="left"/>
    </w:pPr>
    <w:rPr>
      <w:rFonts w:ascii="Times New Roman" w:hAnsi="Times New Roman" w:eastAsia="仿宋"/>
      <w:sz w:val="24"/>
      <w:szCs w:val="28"/>
    </w:rPr>
  </w:style>
  <w:style w:type="paragraph" w:styleId="8">
    <w:name w:val="Plain Text"/>
    <w:basedOn w:val="1"/>
    <w:qFormat/>
    <w:uiPriority w:val="0"/>
    <w:rPr>
      <w:rFonts w:ascii="宋体" w:hAnsi="宋体" w:cs="Courier New"/>
      <w:szCs w:val="21"/>
    </w:rPr>
  </w:style>
  <w:style w:type="paragraph" w:styleId="9">
    <w:name w:val="Normal (Web)"/>
    <w:basedOn w:val="1"/>
    <w:qFormat/>
    <w:uiPriority w:val="0"/>
    <w:pPr>
      <w:spacing w:before="0" w:beforeAutospacing="1" w:after="0" w:afterAutospacing="1"/>
      <w:ind w:left="0" w:right="0"/>
      <w:jc w:val="left"/>
    </w:pPr>
    <w:rPr>
      <w:rFonts w:eastAsia="宋体" w:asciiTheme="minorAscii" w:hAnsiTheme="minorAscii"/>
      <w:kern w:val="0"/>
      <w:sz w:val="24"/>
      <w:lang w:val="en-US" w:eastAsia="zh-CN" w:bidi="ar"/>
    </w:rPr>
  </w:style>
  <w:style w:type="character" w:styleId="12">
    <w:name w:val="Strong"/>
    <w:basedOn w:val="11"/>
    <w:qFormat/>
    <w:uiPriority w:val="0"/>
    <w:rPr>
      <w:rFonts w:ascii="Times New Roman" w:hAnsi="Times New Roman" w:eastAsia="黑体"/>
      <w:b/>
    </w:rPr>
  </w:style>
  <w:style w:type="character" w:customStyle="1" w:styleId="13">
    <w:name w:val="标题 2 Char"/>
    <w:link w:val="3"/>
    <w:qFormat/>
    <w:uiPriority w:val="0"/>
    <w:rPr>
      <w:rFonts w:ascii="华文中宋" w:hAnsi="华文中宋" w:eastAsia="华文中宋" w:cs="华文中宋"/>
      <w:b/>
      <w:kern w:val="2"/>
      <w:sz w:val="28"/>
    </w:rPr>
  </w:style>
  <w:style w:type="character" w:customStyle="1" w:styleId="14">
    <w:name w:val="标题 3 Char"/>
    <w:link w:val="4"/>
    <w:qFormat/>
    <w:uiPriority w:val="0"/>
    <w:rPr>
      <w:rFonts w:eastAsia="黑体"/>
      <w:b/>
      <w:sz w:val="28"/>
      <w:szCs w:val="24"/>
    </w:rPr>
  </w:style>
  <w:style w:type="character" w:customStyle="1" w:styleId="15">
    <w:name w:val="Heading 1 Char"/>
    <w:basedOn w:val="11"/>
    <w:link w:val="2"/>
    <w:qFormat/>
    <w:locked/>
    <w:uiPriority w:val="0"/>
    <w:rPr>
      <w:rFonts w:ascii="Times New Roman" w:hAnsi="Times New Roman" w:eastAsia="微软雅黑" w:cs="微软雅黑"/>
      <w:b/>
      <w:bCs/>
      <w:color w:val="000000"/>
      <w:kern w:val="44"/>
      <w:sz w:val="32"/>
      <w:szCs w:val="44"/>
      <w:shd w:val="clear" w:color="auto" w:fill="auto"/>
      <w:lang w:val="zh-CN" w:eastAsia="zh-CN" w:bidi="zh-CN"/>
    </w:rPr>
  </w:style>
  <w:style w:type="paragraph" w:customStyle="1" w:styleId="16">
    <w:name w:val="广联达方案正文"/>
    <w:link w:val="17"/>
    <w:qFormat/>
    <w:uiPriority w:val="0"/>
    <w:pPr>
      <w:widowControl w:val="0"/>
      <w:spacing w:line="360" w:lineRule="auto"/>
      <w:ind w:firstLine="480" w:firstLineChars="200"/>
    </w:pPr>
    <w:rPr>
      <w:rFonts w:ascii="宋体" w:hAnsi="宋体" w:eastAsia="仿宋" w:cs="Times New Roman"/>
      <w:kern w:val="2"/>
      <w:sz w:val="24"/>
      <w:szCs w:val="22"/>
      <w:lang w:val="en-US" w:eastAsia="zh-CN" w:bidi="ar-SA"/>
    </w:rPr>
  </w:style>
  <w:style w:type="character" w:customStyle="1" w:styleId="17">
    <w:name w:val="广联达方案正文 Char"/>
    <w:link w:val="16"/>
    <w:qFormat/>
    <w:locked/>
    <w:uiPriority w:val="0"/>
    <w:rPr>
      <w:rFonts w:ascii="宋体" w:hAnsi="宋体" w:eastAsia="仿宋" w:cs="Times New Roman"/>
      <w:kern w:val="2"/>
      <w:sz w:val="22"/>
    </w:rPr>
  </w:style>
  <w:style w:type="paragraph" w:styleId="18">
    <w:name w:val="List Paragraph"/>
    <w:basedOn w:val="1"/>
    <w:link w:val="19"/>
    <w:qFormat/>
    <w:uiPriority w:val="1"/>
    <w:pPr>
      <w:spacing w:line="360" w:lineRule="auto"/>
      <w:ind w:left="0" w:firstLine="1280" w:firstLineChars="200"/>
    </w:pPr>
    <w:rPr>
      <w:rFonts w:ascii="Times New Roman" w:hAnsi="Times New Roman" w:cs="宋体"/>
      <w:sz w:val="44"/>
      <w:szCs w:val="44"/>
      <w:lang w:val="zh-CN" w:eastAsia="zh-CN" w:bidi="zh-CN"/>
    </w:rPr>
  </w:style>
  <w:style w:type="character" w:customStyle="1" w:styleId="19">
    <w:name w:val="List Paragraph Char"/>
    <w:link w:val="18"/>
    <w:qFormat/>
    <w:uiPriority w:val="1"/>
    <w:rPr>
      <w:rFonts w:ascii="Times New Roman" w:hAnsi="Times New Roman" w:eastAsia="宋体" w:cs="宋体"/>
      <w:sz w:val="22"/>
      <w:szCs w:val="22"/>
      <w:lang w:val="zh-CN" w:eastAsia="zh-CN" w:bidi="zh-CN"/>
    </w:rPr>
  </w:style>
  <w:style w:type="paragraph" w:customStyle="1" w:styleId="20">
    <w:name w:val="Body text|1"/>
    <w:basedOn w:val="1"/>
    <w:link w:val="21"/>
    <w:qFormat/>
    <w:uiPriority w:val="0"/>
    <w:pPr>
      <w:widowControl w:val="0"/>
      <w:shd w:val="clear" w:color="auto" w:fill="auto"/>
      <w:spacing w:line="360" w:lineRule="auto"/>
      <w:ind w:firstLine="381" w:firstLineChars="200"/>
    </w:pPr>
    <w:rPr>
      <w:rFonts w:ascii="宋体" w:hAnsi="宋体" w:eastAsia="宋体" w:cs="宋体"/>
      <w:color w:val="000000"/>
      <w:szCs w:val="19"/>
      <w:u w:val="none"/>
      <w:shd w:val="clear" w:color="auto" w:fill="auto"/>
      <w:lang w:val="zh-TW" w:eastAsia="zh-TW" w:bidi="zh-TW"/>
    </w:rPr>
  </w:style>
  <w:style w:type="character" w:customStyle="1" w:styleId="21">
    <w:name w:val="Body text|1_"/>
    <w:basedOn w:val="11"/>
    <w:link w:val="20"/>
    <w:qFormat/>
    <w:uiPriority w:val="0"/>
    <w:rPr>
      <w:rFonts w:ascii="宋体" w:hAnsi="宋体" w:eastAsia="宋体" w:cs="宋体"/>
      <w:color w:val="000000"/>
      <w:sz w:val="24"/>
      <w:szCs w:val="19"/>
      <w:u w:val="none"/>
      <w:shd w:val="clear" w:color="auto" w:fill="auto"/>
      <w:lang w:val="zh-TW" w:eastAsia="zh-TW" w:bidi="zh-TW"/>
    </w:rPr>
  </w:style>
  <w:style w:type="paragraph" w:customStyle="1" w:styleId="22">
    <w:name w:val="Heading #2|1"/>
    <w:basedOn w:val="1"/>
    <w:link w:val="23"/>
    <w:qFormat/>
    <w:uiPriority w:val="0"/>
    <w:pPr>
      <w:widowControl w:val="0"/>
      <w:shd w:val="clear" w:color="auto" w:fill="auto"/>
      <w:spacing w:before="100" w:beforeLines="100" w:after="100" w:afterLines="100" w:line="360" w:lineRule="auto"/>
      <w:jc w:val="center"/>
      <w:outlineLvl w:val="1"/>
    </w:pPr>
    <w:rPr>
      <w:rFonts w:ascii="宋体" w:hAnsi="宋体" w:eastAsia="宋体" w:cs="宋体"/>
      <w:color w:val="000000"/>
      <w:sz w:val="40"/>
      <w:szCs w:val="40"/>
      <w:u w:val="none"/>
      <w:shd w:val="clear" w:color="auto" w:fill="auto"/>
      <w:lang w:val="zh-TW" w:eastAsia="zh-TW" w:bidi="zh-TW"/>
    </w:rPr>
  </w:style>
  <w:style w:type="character" w:customStyle="1" w:styleId="23">
    <w:name w:val="Heading #2|1_"/>
    <w:basedOn w:val="11"/>
    <w:link w:val="22"/>
    <w:qFormat/>
    <w:uiPriority w:val="0"/>
    <w:rPr>
      <w:rFonts w:ascii="宋体" w:hAnsi="宋体" w:eastAsia="宋体" w:cs="宋体"/>
      <w:color w:val="000000"/>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2021-04-25T05:41:00Z</dcterms:created>
  <dc:creator>Administrator</dc:creator>
  <cp:lastModifiedBy>Administrator</cp:lastModifiedBy>
  <dcterms:modified xsi:type="dcterms:W3CDTF">2021-09-22T08:02:21Z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716BAF1588D0499C8B8959EAC2705C3E</vt:lpwstr>
  </property>
</Properties>
</file>