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ind w:left="0"/>
        <w:rPr>
          <w:rFonts w:ascii="Times New Roman"/>
          <w:sz w:val="14"/>
        </w:rPr>
      </w:pPr>
    </w:p>
    <w:p>
      <w:pPr>
        <w:spacing w:before="49"/>
        <w:ind w:left="2630" w:right="2747" w:firstLine="0"/>
        <w:jc w:val="center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光面爆破和预裂爆破</w:t>
      </w:r>
    </w:p>
    <w:p>
      <w:pPr>
        <w:spacing w:before="49"/>
        <w:ind w:left="2630" w:right="2747" w:firstLine="0"/>
        <w:jc w:val="center"/>
        <w:rPr>
          <w:b/>
          <w:color w:val="444444"/>
          <w:sz w:val="32"/>
          <w:szCs w:val="32"/>
        </w:rPr>
      </w:pPr>
      <w:bookmarkStart w:id="0" w:name="_GoBack"/>
      <w:bookmarkEnd w:id="0"/>
    </w:p>
    <w:p>
      <w:pPr>
        <w:pStyle w:val="2"/>
        <w:spacing w:before="254" w:line="360" w:lineRule="auto"/>
        <w:ind w:right="117" w:firstLine="480"/>
        <w:rPr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>为保证保留岩体按设计轮廓面成型并防止围岩破坏，须采用轮廓控制爆破技</w:t>
      </w:r>
      <w:r>
        <w:rPr>
          <w:color w:val="444444"/>
          <w:spacing w:val="-9"/>
          <w:sz w:val="24"/>
          <w:szCs w:val="24"/>
        </w:rPr>
        <w:t>术。常用的轮廓控制爆破技术包括预裂爆破和光面爆破。所谓预裂爆破，就是首</w:t>
      </w:r>
      <w:r>
        <w:rPr>
          <w:color w:val="444444"/>
          <w:spacing w:val="-14"/>
          <w:sz w:val="24"/>
          <w:szCs w:val="24"/>
        </w:rPr>
        <w:t>先起爆布置在设计轮廓线上的预裂爆破孔药包，形成一条沿设计轮廓线贯穿的裂</w:t>
      </w:r>
      <w:r>
        <w:rPr>
          <w:color w:val="444444"/>
          <w:spacing w:val="-17"/>
          <w:sz w:val="24"/>
          <w:szCs w:val="24"/>
        </w:rPr>
        <w:t xml:space="preserve">缝，再在该人工裂缝的屏蔽下进行主体开挖部位的爆破，保证保留岩体免遭破坏； </w:t>
      </w:r>
      <w:r>
        <w:rPr>
          <w:color w:val="444444"/>
          <w:spacing w:val="-6"/>
          <w:sz w:val="24"/>
          <w:szCs w:val="24"/>
        </w:rPr>
        <w:t>光面爆破是先爆除主体开挖部位的岩体，然后再起爆布置在设计轮廓线上的周孔药包，将光爆层炸除，形成一个平整的开挖面。</w:t>
      </w:r>
    </w:p>
    <w:p>
      <w:pPr>
        <w:pStyle w:val="2"/>
        <w:spacing w:line="360" w:lineRule="auto"/>
        <w:ind w:left="600"/>
        <w:rPr>
          <w:sz w:val="24"/>
          <w:szCs w:val="24"/>
        </w:rPr>
      </w:pPr>
      <w:r>
        <w:rPr>
          <w:color w:val="444444"/>
          <w:sz w:val="24"/>
          <w:szCs w:val="24"/>
        </w:rPr>
        <w:t>预裂爆破和光面爆破在坝基、边坡和地下洞室岩体开挖中获得了广泛应用。</w:t>
      </w:r>
    </w:p>
    <w:p>
      <w:pPr>
        <w:pStyle w:val="2"/>
        <w:spacing w:line="360" w:lineRule="auto"/>
        <w:ind w:left="600"/>
        <w:rPr>
          <w:sz w:val="24"/>
          <w:szCs w:val="24"/>
        </w:rPr>
      </w:pPr>
      <w:r>
        <w:rPr>
          <w:color w:val="444444"/>
          <w:sz w:val="24"/>
          <w:szCs w:val="24"/>
        </w:rPr>
        <w:t>（一）成缝机理</w:t>
      </w:r>
    </w:p>
    <w:p>
      <w:pPr>
        <w:pStyle w:val="2"/>
        <w:spacing w:line="360" w:lineRule="auto"/>
        <w:ind w:right="237" w:firstLine="480"/>
        <w:rPr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>预裂爆破和光面爆破都要求沿设计轮廓产生规整的爆生裂缝面，两者成缝机</w:t>
      </w:r>
      <w:r>
        <w:rPr>
          <w:color w:val="444444"/>
          <w:sz w:val="24"/>
          <w:szCs w:val="24"/>
        </w:rPr>
        <w:t>理基本一致。现以预裂缝为例论述它们的成缝机理。</w:t>
      </w:r>
    </w:p>
    <w:p>
      <w:pPr>
        <w:pStyle w:val="2"/>
        <w:spacing w:line="360" w:lineRule="auto"/>
        <w:ind w:right="117" w:firstLine="480"/>
        <w:rPr>
          <w:sz w:val="24"/>
          <w:szCs w:val="24"/>
        </w:rPr>
      </w:pPr>
      <w:r>
        <w:rPr>
          <w:color w:val="444444"/>
          <w:sz w:val="24"/>
          <w:szCs w:val="24"/>
        </w:rPr>
        <w:t xml:space="preserve">预裂爆破采用不耦合装药结构，其特征是药包和孔壁间有环状空气间隔层， </w:t>
      </w:r>
      <w:r>
        <w:rPr>
          <w:color w:val="444444"/>
          <w:spacing w:val="-4"/>
          <w:sz w:val="24"/>
          <w:szCs w:val="24"/>
        </w:rPr>
        <w:t xml:space="preserve">该空气间隔层的存在削减了作用在孔壁上的爆炸压力峰值。因为岩石动抗压强度远大于抗拉强度，因此可以控制削减后的爆压不致使孔壁产生明显的压缩破坏， </w:t>
      </w:r>
      <w:r>
        <w:rPr>
          <w:color w:val="444444"/>
          <w:spacing w:val="-9"/>
          <w:sz w:val="24"/>
          <w:szCs w:val="24"/>
        </w:rPr>
        <w:t>但切向拉应力能使炮孔四周产生径向裂纹。加之孔与孔间彼此的聚能作用，使孔</w:t>
      </w:r>
      <w:r>
        <w:rPr>
          <w:color w:val="444444"/>
          <w:spacing w:val="-13"/>
          <w:sz w:val="24"/>
          <w:szCs w:val="24"/>
        </w:rPr>
        <w:t>间连线产生应力集中，孔壁连线上的初始裂纹进一步发展，而滞后的高压气体的</w:t>
      </w:r>
      <w:r>
        <w:rPr>
          <w:color w:val="444444"/>
          <w:spacing w:val="-19"/>
          <w:sz w:val="24"/>
          <w:szCs w:val="24"/>
        </w:rPr>
        <w:t>准静态作用，使沿缝产生气刃劈裂作用，使周边孔间连线上的裂纹全部贯通成缝。</w:t>
      </w:r>
    </w:p>
    <w:p>
      <w:pPr>
        <w:pStyle w:val="2"/>
        <w:spacing w:line="360" w:lineRule="auto"/>
        <w:ind w:left="60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（二）质量控制标准</w:t>
      </w:r>
    </w:p>
    <w:p>
      <w:pPr>
        <w:pStyle w:val="5"/>
        <w:numPr>
          <w:ilvl w:val="0"/>
          <w:numId w:val="1"/>
        </w:numPr>
        <w:tabs>
          <w:tab w:val="left" w:pos="1441"/>
        </w:tabs>
        <w:spacing w:before="215" w:after="0" w:line="360" w:lineRule="auto"/>
        <w:ind w:left="119" w:leftChars="54" w:right="145" w:firstLine="758" w:firstLineChars="316"/>
        <w:jc w:val="left"/>
        <w:rPr>
          <w:sz w:val="24"/>
          <w:szCs w:val="24"/>
        </w:rPr>
      </w:pPr>
      <w:r>
        <w:rPr>
          <w:color w:val="444444"/>
          <w:sz w:val="24"/>
          <w:szCs w:val="24"/>
        </w:rPr>
        <w:t>开挖壁面岩石的完整性用岩壁上炮孔痕迹率来衡量，炮孔痕迹率也</w:t>
      </w:r>
      <w:r>
        <w:rPr>
          <w:color w:val="444444"/>
          <w:spacing w:val="-1"/>
          <w:sz w:val="24"/>
          <w:szCs w:val="24"/>
        </w:rPr>
        <w:t xml:space="preserve">称半孔率，为开挖壁面上的炮孔痕迹总长与炮孔总长的百分比率。在水电部门， </w:t>
      </w:r>
      <w:r>
        <w:rPr>
          <w:color w:val="444444"/>
          <w:spacing w:val="-4"/>
          <w:sz w:val="24"/>
          <w:szCs w:val="24"/>
        </w:rPr>
        <w:t>对节理裂隙极发育的岩体，一般应使炮孔痕迹率达到</w:t>
      </w:r>
      <w:r>
        <w:rPr>
          <w:color w:val="444444"/>
          <w:spacing w:val="-6"/>
          <w:sz w:val="24"/>
          <w:szCs w:val="24"/>
        </w:rPr>
        <w:t>10％～50％</w:t>
      </w:r>
      <w:r>
        <w:rPr>
          <w:color w:val="444444"/>
          <w:spacing w:val="-2"/>
          <w:sz w:val="24"/>
          <w:szCs w:val="24"/>
        </w:rPr>
        <w:t>；节理裂隙中等发育者应达</w:t>
      </w:r>
      <w:r>
        <w:rPr>
          <w:color w:val="444444"/>
          <w:spacing w:val="-6"/>
          <w:sz w:val="24"/>
          <w:szCs w:val="24"/>
        </w:rPr>
        <w:t>50％～80％</w:t>
      </w:r>
      <w:r>
        <w:rPr>
          <w:color w:val="444444"/>
          <w:spacing w:val="-2"/>
          <w:sz w:val="24"/>
          <w:szCs w:val="24"/>
        </w:rPr>
        <w:t>；节理裂隙不发育者应达</w:t>
      </w:r>
      <w:r>
        <w:rPr>
          <w:color w:val="444444"/>
          <w:sz w:val="24"/>
          <w:szCs w:val="24"/>
        </w:rPr>
        <w:t>80％</w:t>
      </w:r>
      <w:r>
        <w:rPr>
          <w:color w:val="444444"/>
          <w:spacing w:val="-7"/>
          <w:sz w:val="24"/>
          <w:szCs w:val="24"/>
        </w:rPr>
        <w:t>以上。围岩壁面不应有明显的爆生裂隙。</w:t>
      </w:r>
    </w:p>
    <w:p>
      <w:pPr>
        <w:pStyle w:val="5"/>
        <w:numPr>
          <w:ilvl w:val="0"/>
          <w:numId w:val="1"/>
        </w:numPr>
        <w:tabs>
          <w:tab w:val="left" w:pos="1441"/>
        </w:tabs>
        <w:spacing w:before="0" w:after="0" w:line="360" w:lineRule="auto"/>
        <w:ind w:left="119" w:leftChars="54" w:right="0" w:firstLine="758" w:firstLineChars="316"/>
        <w:jc w:val="left"/>
        <w:rPr>
          <w:sz w:val="24"/>
          <w:szCs w:val="24"/>
        </w:rPr>
      </w:pPr>
      <w:r>
        <w:rPr>
          <w:color w:val="444444"/>
          <w:sz w:val="24"/>
          <w:szCs w:val="24"/>
        </w:rPr>
        <w:t>围岩壁面不平整度（又称起伏差）的允许值为±375px。</w:t>
      </w:r>
    </w:p>
    <w:p>
      <w:pPr>
        <w:pStyle w:val="5"/>
        <w:numPr>
          <w:ilvl w:val="0"/>
          <w:numId w:val="1"/>
        </w:numPr>
        <w:tabs>
          <w:tab w:val="left" w:pos="1441"/>
        </w:tabs>
        <w:spacing w:before="1" w:after="0" w:line="360" w:lineRule="auto"/>
        <w:ind w:left="119" w:leftChars="54" w:right="0" w:firstLine="714" w:firstLineChars="316"/>
        <w:jc w:val="left"/>
        <w:rPr>
          <w:sz w:val="24"/>
          <w:szCs w:val="24"/>
        </w:rPr>
      </w:pPr>
      <w:r>
        <w:rPr>
          <w:color w:val="444444"/>
          <w:spacing w:val="-7"/>
          <w:sz w:val="24"/>
          <w:szCs w:val="24"/>
        </w:rPr>
        <w:t>在临空面上，预裂缝宽度一般不宜小于</w:t>
      </w:r>
      <w:r>
        <w:rPr>
          <w:color w:val="444444"/>
          <w:sz w:val="24"/>
          <w:szCs w:val="24"/>
        </w:rPr>
        <w:t>25px</w:t>
      </w:r>
      <w:r>
        <w:rPr>
          <w:color w:val="444444"/>
          <w:spacing w:val="-17"/>
          <w:sz w:val="24"/>
          <w:szCs w:val="24"/>
        </w:rPr>
        <w:t>。实践表明，对软岩</w:t>
      </w:r>
      <w:r>
        <w:rPr>
          <w:color w:val="444444"/>
          <w:sz w:val="24"/>
          <w:szCs w:val="24"/>
        </w:rPr>
        <w:t>（如</w:t>
      </w:r>
    </w:p>
    <w:p>
      <w:pPr>
        <w:pStyle w:val="2"/>
        <w:spacing w:before="66" w:line="360" w:lineRule="auto"/>
        <w:ind w:left="119" w:leftChars="54" w:right="145" w:firstLine="758" w:firstLineChars="316"/>
        <w:rPr>
          <w:sz w:val="24"/>
          <w:szCs w:val="24"/>
        </w:rPr>
      </w:pPr>
      <w:r>
        <w:rPr>
          <w:color w:val="444444"/>
          <w:sz w:val="24"/>
          <w:szCs w:val="24"/>
        </w:rPr>
        <w:t>葛洲坝工程的粉砂岩</w:t>
      </w:r>
      <w:r>
        <w:rPr>
          <w:color w:val="444444"/>
          <w:spacing w:val="-120"/>
          <w:sz w:val="24"/>
          <w:szCs w:val="24"/>
        </w:rPr>
        <w:t>）</w:t>
      </w:r>
      <w:r>
        <w:rPr>
          <w:color w:val="444444"/>
          <w:sz w:val="24"/>
          <w:szCs w:val="24"/>
        </w:rPr>
        <w:t>，预裂缝宽度可达50px</w:t>
      </w:r>
      <w:r>
        <w:rPr>
          <w:color w:val="444444"/>
          <w:spacing w:val="-8"/>
          <w:sz w:val="24"/>
          <w:szCs w:val="24"/>
        </w:rPr>
        <w:t xml:space="preserve"> 以上，而且只有达到</w:t>
      </w:r>
      <w:r>
        <w:rPr>
          <w:color w:val="444444"/>
          <w:sz w:val="24"/>
          <w:szCs w:val="24"/>
        </w:rPr>
        <w:t>50px</w:t>
      </w:r>
      <w:r>
        <w:rPr>
          <w:color w:val="444444"/>
          <w:spacing w:val="-16"/>
          <w:sz w:val="24"/>
          <w:szCs w:val="24"/>
        </w:rPr>
        <w:t xml:space="preserve"> 以上时，</w:t>
      </w:r>
      <w:r>
        <w:rPr>
          <w:color w:val="444444"/>
          <w:spacing w:val="-5"/>
          <w:sz w:val="24"/>
          <w:szCs w:val="24"/>
        </w:rPr>
        <w:t>才能起到有效的隔震作用；但对坚硬岩石，预裂缝宽度难以达到</w:t>
      </w:r>
      <w:r>
        <w:rPr>
          <w:color w:val="444444"/>
          <w:sz w:val="24"/>
          <w:szCs w:val="24"/>
        </w:rPr>
        <w:t>25px</w:t>
      </w:r>
      <w:r>
        <w:rPr>
          <w:color w:val="444444"/>
          <w:spacing w:val="-8"/>
          <w:sz w:val="24"/>
          <w:szCs w:val="24"/>
        </w:rPr>
        <w:t>。东江工程的花岗岩预裂缝宽仅</w:t>
      </w:r>
      <w:r>
        <w:rPr>
          <w:color w:val="444444"/>
          <w:sz w:val="24"/>
          <w:szCs w:val="24"/>
        </w:rPr>
        <w:t>6 m m，仍可起到有效隔震作用。地下工程预裂缝宽度比露天工程小得多，一般仅达0.3～12.5px。因此，预裂缝的宽度标准与岩性及工程部位有关，应通过现场试验最终确定。</w:t>
      </w:r>
    </w:p>
    <w:p>
      <w:pPr>
        <w:pStyle w:val="2"/>
        <w:spacing w:line="360" w:lineRule="auto"/>
        <w:ind w:left="120" w:leftChars="0" w:right="237" w:firstLine="760" w:firstLineChars="0"/>
        <w:jc w:val="both"/>
        <w:rPr>
          <w:sz w:val="24"/>
          <w:szCs w:val="24"/>
        </w:rPr>
      </w:pPr>
      <w:r>
        <w:rPr>
          <w:color w:val="444444"/>
          <w:spacing w:val="-8"/>
          <w:sz w:val="24"/>
          <w:szCs w:val="24"/>
        </w:rPr>
        <w:t>影响轮廓爆破质量的因素，除爆破参数外，主要依赖于地质条件和钻孔</w:t>
      </w:r>
      <w:r>
        <w:rPr>
          <w:color w:val="444444"/>
          <w:spacing w:val="-10"/>
          <w:sz w:val="24"/>
          <w:szCs w:val="24"/>
        </w:rPr>
        <w:t>精度。这是因为爆生裂缝极易沿岩体原生裂隙、节理发展，而钻孔精度则是保证</w:t>
      </w:r>
      <w:r>
        <w:rPr>
          <w:color w:val="444444"/>
          <w:sz w:val="24"/>
          <w:szCs w:val="24"/>
        </w:rPr>
        <w:t>周边控爆质量的先决条件。</w:t>
      </w:r>
    </w:p>
    <w:p>
      <w:pPr>
        <w:pStyle w:val="2"/>
        <w:spacing w:line="360" w:lineRule="auto"/>
        <w:ind w:left="60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（三）参数设计</w:t>
      </w:r>
    </w:p>
    <w:p>
      <w:pPr>
        <w:pStyle w:val="2"/>
        <w:spacing w:before="215" w:line="360" w:lineRule="auto"/>
        <w:ind w:left="119" w:leftChars="54" w:right="237" w:firstLine="874" w:firstLineChars="380"/>
        <w:rPr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>预裂爆破和光面爆破的参数设计一般采用工程类比法，并通过现场试验</w:t>
      </w:r>
      <w:r>
        <w:rPr>
          <w:color w:val="444444"/>
          <w:sz w:val="24"/>
          <w:szCs w:val="24"/>
        </w:rPr>
        <w:t>最终确定。</w:t>
      </w:r>
    </w:p>
    <w:p>
      <w:pPr>
        <w:pStyle w:val="5"/>
        <w:numPr>
          <w:ilvl w:val="0"/>
          <w:numId w:val="2"/>
        </w:numPr>
        <w:tabs>
          <w:tab w:val="left" w:pos="1441"/>
        </w:tabs>
        <w:spacing w:before="3" w:after="0" w:line="360" w:lineRule="auto"/>
        <w:ind w:left="119" w:leftChars="54" w:right="0" w:firstLine="912" w:firstLineChars="380"/>
        <w:jc w:val="left"/>
        <w:rPr>
          <w:sz w:val="24"/>
          <w:szCs w:val="24"/>
        </w:rPr>
      </w:pPr>
      <w:r>
        <w:rPr>
          <w:color w:val="444444"/>
          <w:sz w:val="24"/>
          <w:szCs w:val="24"/>
        </w:rPr>
        <w:t>预裂爆破参数</w:t>
      </w:r>
    </w:p>
    <w:p>
      <w:pPr>
        <w:pStyle w:val="5"/>
        <w:numPr>
          <w:ilvl w:val="1"/>
          <w:numId w:val="2"/>
        </w:numPr>
        <w:tabs>
          <w:tab w:val="left" w:pos="1441"/>
        </w:tabs>
        <w:spacing w:before="0" w:after="0" w:line="360" w:lineRule="auto"/>
        <w:ind w:left="119" w:leftChars="54" w:right="237" w:firstLine="912" w:firstLineChars="380"/>
        <w:jc w:val="both"/>
        <w:rPr>
          <w:sz w:val="24"/>
          <w:szCs w:val="24"/>
        </w:rPr>
      </w:pPr>
      <w:r>
        <w:rPr>
          <w:color w:val="444444"/>
          <w:sz w:val="24"/>
          <w:szCs w:val="24"/>
        </w:rPr>
        <w:t>孔径 明挖工程为7</w:t>
      </w:r>
      <w:r>
        <w:rPr>
          <w:color w:val="444444"/>
          <w:spacing w:val="6"/>
          <w:sz w:val="24"/>
          <w:szCs w:val="24"/>
        </w:rPr>
        <w:t xml:space="preserve"> </w:t>
      </w:r>
      <w:r>
        <w:rPr>
          <w:color w:val="444444"/>
          <w:sz w:val="24"/>
          <w:szCs w:val="24"/>
        </w:rPr>
        <w:t>0～165mm；隧洞开挖为40～90mm</w:t>
      </w:r>
      <w:r>
        <w:rPr>
          <w:color w:val="444444"/>
          <w:spacing w:val="-3"/>
          <w:sz w:val="24"/>
          <w:szCs w:val="24"/>
        </w:rPr>
        <w:t>；大型地下厂</w:t>
      </w:r>
      <w:r>
        <w:rPr>
          <w:color w:val="444444"/>
          <w:sz w:val="24"/>
          <w:szCs w:val="24"/>
        </w:rPr>
        <w:t>房为50～110mm。</w:t>
      </w:r>
    </w:p>
    <w:p>
      <w:pPr>
        <w:pStyle w:val="5"/>
        <w:numPr>
          <w:ilvl w:val="1"/>
          <w:numId w:val="2"/>
        </w:numPr>
        <w:tabs>
          <w:tab w:val="left" w:pos="1441"/>
        </w:tabs>
        <w:spacing w:before="0" w:after="0" w:line="360" w:lineRule="auto"/>
        <w:ind w:left="119" w:leftChars="54" w:right="237" w:firstLine="904" w:firstLineChars="380"/>
        <w:jc w:val="both"/>
        <w:rPr>
          <w:sz w:val="24"/>
          <w:szCs w:val="24"/>
        </w:rPr>
      </w:pPr>
      <w:r>
        <w:rPr>
          <w:color w:val="444444"/>
          <w:spacing w:val="-1"/>
          <w:sz w:val="24"/>
          <w:szCs w:val="24"/>
        </w:rPr>
        <w:t>孔距 与岩石特性、炸药性质、装药情况、开挖壁面平整度要求和</w:t>
      </w:r>
      <w:r>
        <w:rPr>
          <w:color w:val="444444"/>
          <w:sz w:val="24"/>
          <w:szCs w:val="24"/>
        </w:rPr>
        <w:t>孔径大小有关。孔距一般为孔径的7～12</w:t>
      </w:r>
      <w:r>
        <w:rPr>
          <w:color w:val="444444"/>
          <w:spacing w:val="-1"/>
          <w:sz w:val="24"/>
          <w:szCs w:val="24"/>
        </w:rPr>
        <w:t>倍。爆破质量要求高、岩质软弱、裂隙</w:t>
      </w:r>
      <w:r>
        <w:rPr>
          <w:color w:val="444444"/>
          <w:sz w:val="24"/>
          <w:szCs w:val="24"/>
        </w:rPr>
        <w:t>发育者取小值。</w:t>
      </w:r>
    </w:p>
    <w:p>
      <w:pPr>
        <w:pStyle w:val="5"/>
        <w:numPr>
          <w:ilvl w:val="1"/>
          <w:numId w:val="2"/>
        </w:numPr>
        <w:tabs>
          <w:tab w:val="left" w:pos="1321"/>
        </w:tabs>
        <w:spacing w:before="0" w:after="0" w:line="360" w:lineRule="auto"/>
        <w:ind w:left="119" w:leftChars="54" w:right="237" w:firstLine="896" w:firstLineChars="380"/>
        <w:jc w:val="both"/>
        <w:rPr>
          <w:sz w:val="24"/>
          <w:szCs w:val="24"/>
        </w:rPr>
      </w:pPr>
      <w:r>
        <w:rPr>
          <w:color w:val="444444"/>
          <w:spacing w:val="-2"/>
          <w:sz w:val="24"/>
          <w:szCs w:val="24"/>
        </w:rPr>
        <w:t>装药不偶合系数  不偶合系数指炮孔半径与药卷半径的比值，为防</w:t>
      </w:r>
      <w:r>
        <w:rPr>
          <w:color w:val="444444"/>
          <w:spacing w:val="-4"/>
          <w:sz w:val="24"/>
          <w:szCs w:val="24"/>
        </w:rPr>
        <w:t>止炮孔壁的破坏，该值一般取</w:t>
      </w:r>
      <w:r>
        <w:rPr>
          <w:color w:val="444444"/>
          <w:sz w:val="24"/>
          <w:szCs w:val="24"/>
        </w:rPr>
        <w:t>2～5。</w:t>
      </w:r>
    </w:p>
    <w:p>
      <w:pPr>
        <w:pStyle w:val="5"/>
        <w:numPr>
          <w:ilvl w:val="1"/>
          <w:numId w:val="2"/>
        </w:numPr>
        <w:tabs>
          <w:tab w:val="left" w:pos="1441"/>
        </w:tabs>
        <w:spacing w:before="0" w:after="0" w:line="360" w:lineRule="auto"/>
        <w:ind w:left="119" w:leftChars="54" w:right="237" w:firstLine="904" w:firstLineChars="380"/>
        <w:jc w:val="both"/>
        <w:rPr>
          <w:sz w:val="24"/>
          <w:szCs w:val="24"/>
        </w:rPr>
      </w:pPr>
      <w:r>
        <w:rPr>
          <w:color w:val="444444"/>
          <w:spacing w:val="-1"/>
          <w:sz w:val="24"/>
          <w:szCs w:val="24"/>
        </w:rPr>
        <w:t>线装药密度 线装药密度是单位长度炮孔的平均装药量。影响预裂</w:t>
      </w:r>
      <w:r>
        <w:rPr>
          <w:color w:val="444444"/>
          <w:sz w:val="24"/>
          <w:szCs w:val="24"/>
        </w:rPr>
        <w:t>爆破参数的因素复杂,很难从理论上推导出严格的计算公式,以经验公式为主。</w:t>
      </w:r>
    </w:p>
    <w:p>
      <w:pPr>
        <w:pStyle w:val="2"/>
        <w:spacing w:line="360" w:lineRule="auto"/>
        <w:ind w:left="119" w:leftChars="54" w:firstLine="912" w:firstLineChars="3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（四）装药结构与起爆</w:t>
      </w:r>
    </w:p>
    <w:p>
      <w:pPr>
        <w:pStyle w:val="2"/>
        <w:spacing w:line="360" w:lineRule="auto"/>
        <w:ind w:left="119" w:leftChars="54" w:firstLine="912" w:firstLineChars="3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装药结构</w:t>
      </w:r>
    </w:p>
    <w:p>
      <w:pPr>
        <w:pStyle w:val="5"/>
        <w:numPr>
          <w:ilvl w:val="0"/>
          <w:numId w:val="3"/>
        </w:numPr>
        <w:tabs>
          <w:tab w:val="left" w:pos="1441"/>
          <w:tab w:val="left" w:pos="2404"/>
        </w:tabs>
        <w:spacing w:before="0" w:after="0" w:line="360" w:lineRule="auto"/>
        <w:ind w:left="119" w:leftChars="54" w:right="240" w:firstLine="912" w:firstLineChars="380"/>
        <w:jc w:val="left"/>
        <w:rPr>
          <w:sz w:val="24"/>
          <w:szCs w:val="24"/>
        </w:rPr>
      </w:pPr>
      <w:r>
        <w:rPr>
          <w:color w:val="444444"/>
          <w:sz w:val="24"/>
          <w:szCs w:val="24"/>
        </w:rPr>
        <w:t>堵塞段</w:t>
      </w:r>
      <w:r>
        <w:rPr>
          <w:color w:val="444444"/>
          <w:sz w:val="24"/>
          <w:szCs w:val="24"/>
        </w:rPr>
        <w:tab/>
      </w:r>
      <w:r>
        <w:rPr>
          <w:color w:val="444444"/>
          <w:sz w:val="24"/>
          <w:szCs w:val="24"/>
        </w:rPr>
        <w:t>堵塞段的作用是延长爆生气体的作用时间，且保证孔口</w:t>
      </w:r>
      <w:r>
        <w:rPr>
          <w:color w:val="444444"/>
          <w:spacing w:val="-14"/>
          <w:sz w:val="24"/>
          <w:szCs w:val="24"/>
        </w:rPr>
        <w:t>段</w:t>
      </w:r>
      <w:r>
        <w:rPr>
          <w:color w:val="444444"/>
          <w:sz w:val="24"/>
          <w:szCs w:val="24"/>
        </w:rPr>
        <w:t>只产生裂缝而不出现爆破漏斗，对深孔爆破该段长一般取0.5～1.5m。</w:t>
      </w:r>
    </w:p>
    <w:p>
      <w:pPr>
        <w:pStyle w:val="5"/>
        <w:numPr>
          <w:ilvl w:val="0"/>
          <w:numId w:val="3"/>
        </w:numPr>
        <w:tabs>
          <w:tab w:val="left" w:pos="1441"/>
        </w:tabs>
        <w:spacing w:before="66" w:after="0" w:line="360" w:lineRule="auto"/>
        <w:ind w:left="119" w:leftChars="54" w:right="237" w:firstLine="904" w:firstLineChars="380"/>
        <w:jc w:val="both"/>
        <w:rPr>
          <w:sz w:val="24"/>
          <w:szCs w:val="24"/>
        </w:rPr>
      </w:pPr>
      <w:r>
        <w:rPr>
          <w:color w:val="444444"/>
          <w:spacing w:val="-1"/>
          <w:sz w:val="24"/>
          <w:szCs w:val="24"/>
        </w:rPr>
        <w:t>孔底加强段 段长大体等于堵塞段。由于孔底受岩石夹持作用，故</w:t>
      </w:r>
      <w:r>
        <w:rPr>
          <w:color w:val="444444"/>
          <w:sz w:val="24"/>
          <w:szCs w:val="24"/>
        </w:rPr>
        <w:t>需用较大的线装药密度。</w:t>
      </w:r>
    </w:p>
    <w:p>
      <w:pPr>
        <w:pStyle w:val="5"/>
        <w:numPr>
          <w:ilvl w:val="0"/>
          <w:numId w:val="3"/>
        </w:numPr>
        <w:tabs>
          <w:tab w:val="left" w:pos="1441"/>
        </w:tabs>
        <w:spacing w:before="0" w:after="0" w:line="360" w:lineRule="auto"/>
        <w:ind w:left="119" w:leftChars="54" w:right="237" w:firstLine="904" w:firstLineChars="380"/>
        <w:jc w:val="both"/>
        <w:rPr>
          <w:sz w:val="24"/>
          <w:szCs w:val="24"/>
        </w:rPr>
      </w:pPr>
      <w:r>
        <w:rPr>
          <w:color w:val="444444"/>
          <w:spacing w:val="-1"/>
          <w:sz w:val="24"/>
          <w:szCs w:val="24"/>
        </w:rPr>
        <w:t>均匀装药段该段一般为轴向间隔不偶合装药，并要求沿孔轴线方向</w:t>
      </w:r>
      <w:r>
        <w:rPr>
          <w:color w:val="444444"/>
          <w:spacing w:val="-4"/>
          <w:sz w:val="24"/>
          <w:szCs w:val="24"/>
        </w:rPr>
        <w:t>均匀分布。轴向间隔装药须用导爆索串联各药卷起爆。为保证孔壁不被粉碎，药</w:t>
      </w:r>
      <w:r>
        <w:rPr>
          <w:color w:val="444444"/>
          <w:spacing w:val="-1"/>
          <w:sz w:val="24"/>
          <w:szCs w:val="24"/>
        </w:rPr>
        <w:t>卷应尽量置于孔的中心。国外一般用炮孔中心定位器定位,国内一般是将药卷及</w:t>
      </w:r>
      <w:r>
        <w:rPr>
          <w:color w:val="444444"/>
          <w:sz w:val="24"/>
          <w:szCs w:val="24"/>
        </w:rPr>
        <w:t>导爆索绑于竹片进行药卷定位。</w:t>
      </w:r>
    </w:p>
    <w:p>
      <w:pPr>
        <w:pStyle w:val="5"/>
        <w:numPr>
          <w:ilvl w:val="0"/>
          <w:numId w:val="4"/>
        </w:numPr>
        <w:tabs>
          <w:tab w:val="left" w:pos="1100"/>
        </w:tabs>
        <w:spacing w:before="0" w:after="0" w:line="360" w:lineRule="auto"/>
        <w:ind w:left="238" w:leftChars="108" w:right="0" w:firstLine="640" w:firstLineChars="267"/>
        <w:jc w:val="left"/>
        <w:rPr>
          <w:sz w:val="24"/>
          <w:szCs w:val="24"/>
        </w:rPr>
      </w:pPr>
      <w:r>
        <w:rPr>
          <w:color w:val="444444"/>
          <w:sz w:val="24"/>
          <w:szCs w:val="24"/>
        </w:rPr>
        <w:t>起爆</w:t>
      </w:r>
    </w:p>
    <w:p>
      <w:pPr>
        <w:pStyle w:val="2"/>
        <w:spacing w:before="215" w:line="360" w:lineRule="auto"/>
        <w:ind w:left="238" w:leftChars="108" w:right="237" w:firstLine="592" w:firstLineChars="267"/>
        <w:rPr>
          <w:sz w:val="24"/>
          <w:szCs w:val="24"/>
        </w:rPr>
      </w:pPr>
      <w:r>
        <w:rPr>
          <w:color w:val="444444"/>
          <w:spacing w:val="-9"/>
          <w:sz w:val="24"/>
          <w:szCs w:val="24"/>
        </w:rPr>
        <w:t>为保证同时起爆，预裂爆破和光面爆破一般都用导爆索起爆，并通常采用分</w:t>
      </w:r>
      <w:r>
        <w:rPr>
          <w:color w:val="444444"/>
          <w:sz w:val="24"/>
          <w:szCs w:val="24"/>
        </w:rPr>
        <w:t>段并联法。</w:t>
      </w:r>
    </w:p>
    <w:p>
      <w:pPr>
        <w:pStyle w:val="2"/>
        <w:spacing w:line="360" w:lineRule="auto"/>
        <w:ind w:left="238" w:leftChars="108" w:right="205" w:firstLine="608" w:firstLineChars="267"/>
        <w:jc w:val="both"/>
        <w:rPr>
          <w:sz w:val="24"/>
          <w:szCs w:val="24"/>
        </w:rPr>
      </w:pPr>
      <w:r>
        <w:rPr>
          <w:color w:val="444444"/>
          <w:spacing w:val="-6"/>
          <w:sz w:val="24"/>
          <w:szCs w:val="24"/>
        </w:rPr>
        <w:t>由于光面爆破孔是最后起爆，导爆索有可能遭受超前破坏。为保证周边</w:t>
      </w:r>
      <w:r>
        <w:rPr>
          <w:color w:val="444444"/>
          <w:spacing w:val="-11"/>
          <w:sz w:val="24"/>
          <w:szCs w:val="24"/>
        </w:rPr>
        <w:t>孔准爆，对光面爆破孔可采用高段延期雷管与导爆索的双重起爆法。预裂孔若与主爆区炮孔组成同一网路起爆，则预裂孔应超前第一排主爆孔75～100ms</w:t>
      </w:r>
      <w:r>
        <w:rPr>
          <w:color w:val="444444"/>
          <w:spacing w:val="-20"/>
          <w:sz w:val="24"/>
          <w:szCs w:val="24"/>
        </w:rPr>
        <w:t xml:space="preserve"> 起爆。</w:t>
      </w:r>
    </w:p>
    <w:sectPr>
      <w:headerReference r:id="rId5" w:type="default"/>
      <w:footerReference r:id="rId6" w:type="default"/>
      <w:pgSz w:w="11910" w:h="16840"/>
      <w:pgMar w:top="1760" w:right="1560" w:bottom="1500" w:left="1680" w:header="871" w:footer="13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5505450" cy="7787640"/>
          <wp:effectExtent l="0" t="0" r="11430" b="0"/>
          <wp:wrapNone/>
          <wp:docPr id="1" name="WordPictureWatermark76857" descr="4c580a3c8696da9d5d92ff22449248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6857" descr="4c580a3c8696da9d5d92ff22449248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5450" cy="778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2E1BD"/>
    <w:multiLevelType w:val="multilevel"/>
    <w:tmpl w:val="6092E1BD"/>
    <w:lvl w:ilvl="0" w:tentative="0">
      <w:start w:val="1"/>
      <w:numFmt w:val="decimal"/>
      <w:lvlText w:val="%1）"/>
      <w:lvlJc w:val="left"/>
      <w:pPr>
        <w:ind w:left="120" w:hanging="361"/>
        <w:jc w:val="left"/>
      </w:pPr>
      <w:rPr>
        <w:rFonts w:hint="default" w:ascii="宋体" w:hAnsi="宋体" w:eastAsia="宋体" w:cs="宋体"/>
        <w:color w:val="444444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4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29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3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3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9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7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02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56" w:hanging="361"/>
      </w:pPr>
      <w:rPr>
        <w:rFonts w:hint="default"/>
        <w:lang w:val="zh-CN" w:eastAsia="zh-CN" w:bidi="zh-CN"/>
      </w:rPr>
    </w:lvl>
  </w:abstractNum>
  <w:abstractNum w:abstractNumId="1">
    <w:nsid w:val="6092E1C8"/>
    <w:multiLevelType w:val="multilevel"/>
    <w:tmpl w:val="6092E1C8"/>
    <w:lvl w:ilvl="0" w:tentative="0">
      <w:start w:val="1"/>
      <w:numFmt w:val="decimal"/>
      <w:lvlText w:val="（%1）"/>
      <w:lvlJc w:val="left"/>
      <w:pPr>
        <w:ind w:left="1441" w:hanging="601"/>
        <w:jc w:val="left"/>
      </w:pPr>
      <w:rPr>
        <w:rFonts w:hint="default" w:ascii="宋体" w:hAnsi="宋体" w:eastAsia="宋体" w:cs="宋体"/>
        <w:color w:val="444444"/>
        <w:w w:val="100"/>
        <w:sz w:val="22"/>
        <w:szCs w:val="22"/>
        <w:lang w:val="zh-CN" w:eastAsia="zh-CN" w:bidi="zh-CN"/>
      </w:rPr>
    </w:lvl>
    <w:lvl w:ilvl="1" w:tentative="0">
      <w:start w:val="1"/>
      <w:numFmt w:val="decimal"/>
      <w:lvlText w:val="%2）"/>
      <w:lvlJc w:val="left"/>
      <w:pPr>
        <w:ind w:left="120" w:hanging="361"/>
        <w:jc w:val="right"/>
      </w:pPr>
      <w:rPr>
        <w:rFonts w:hint="default" w:ascii="宋体" w:hAnsi="宋体" w:eastAsia="宋体" w:cs="宋体"/>
        <w:color w:val="444444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2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45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4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51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54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57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60" w:hanging="361"/>
      </w:pPr>
      <w:rPr>
        <w:rFonts w:hint="default"/>
        <w:lang w:val="zh-CN" w:eastAsia="zh-CN" w:bidi="zh-CN"/>
      </w:rPr>
    </w:lvl>
  </w:abstractNum>
  <w:abstractNum w:abstractNumId="2">
    <w:nsid w:val="6092E1D3"/>
    <w:multiLevelType w:val="multilevel"/>
    <w:tmpl w:val="6092E1D3"/>
    <w:lvl w:ilvl="0" w:tentative="0">
      <w:start w:val="1"/>
      <w:numFmt w:val="decimal"/>
      <w:lvlText w:val="（%1）"/>
      <w:lvlJc w:val="left"/>
      <w:pPr>
        <w:ind w:left="1681" w:hanging="601"/>
        <w:jc w:val="left"/>
      </w:pPr>
      <w:rPr>
        <w:rFonts w:hint="default" w:ascii="宋体" w:hAnsi="宋体" w:eastAsia="宋体" w:cs="宋体"/>
        <w:color w:val="444444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7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7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7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70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8" w:hanging="601"/>
      </w:pPr>
      <w:rPr>
        <w:rFonts w:hint="default"/>
        <w:lang w:val="zh-CN" w:eastAsia="zh-CN" w:bidi="zh-CN"/>
      </w:rPr>
    </w:lvl>
  </w:abstractNum>
  <w:abstractNum w:abstractNumId="3">
    <w:nsid w:val="6092E1DE"/>
    <w:multiLevelType w:val="multilevel"/>
    <w:tmpl w:val="6092E1DE"/>
    <w:lvl w:ilvl="0" w:tentative="0">
      <w:start w:val="1"/>
      <w:numFmt w:val="decimal"/>
      <w:lvlText w:val="%1）"/>
      <w:lvlJc w:val="left"/>
      <w:pPr>
        <w:ind w:left="120" w:hanging="361"/>
        <w:jc w:val="left"/>
      </w:pPr>
      <w:rPr>
        <w:rFonts w:hint="default" w:ascii="宋体" w:hAnsi="宋体" w:eastAsia="宋体" w:cs="宋体"/>
        <w:color w:val="444444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4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29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3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3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9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7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02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56" w:hanging="36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0E163A4"/>
    <w:rsid w:val="52FD1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List Paragraph1"/>
    <w:basedOn w:val="1"/>
    <w:qFormat/>
    <w:uiPriority w:val="1"/>
    <w:pPr>
      <w:ind w:left="120" w:right="237" w:firstLine="960"/>
    </w:pPr>
    <w:rPr>
      <w:rFonts w:ascii="宋体" w:hAnsi="宋体" w:eastAsia="宋体" w:cs="宋体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2021-04-09T17:12:00Z</dcterms:created>
  <dc:creator>Administrator</dc:creator>
  <cp:lastModifiedBy>Administrator</cp:lastModifiedBy>
  <dcterms:modified xsi:type="dcterms:W3CDTF">2021-05-14T08:58:40Z</dcterms:modified>
  <dc:title>光面爆破和预裂爆破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2014-03-03T00:00:00Z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2021-04-09T00:00:00Z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66FF8FF112A643E3AD0596A60B36347F</vt:lpwstr>
  </property>
</Properties>
</file>